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5"/>
        <w:rPr>
          <w:rFonts w:ascii="David" w:hAnsi="David" w:eastAsia="Nimbus Sans" w:cs="David"/>
          <w:b/>
          <w:b/>
          <w:bCs/>
          <w:color w:val="auto"/>
          <w:kern w:val="2"/>
          <w:sz w:val="24"/>
          <w:szCs w:val="24"/>
          <w:shd w:fill="auto" w:val="clear"/>
          <w:lang w:val="en-US" w:eastAsia="zh-CN" w:bidi="hi-IN"/>
        </w:rPr>
      </w:pP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>בנו מהלך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 xml:space="preserve">שיורכב 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u w:val="single"/>
          <w:shd w:fill="auto" w:val="clear"/>
          <w:lang w:val="en-US" w:eastAsia="zh-CN" w:bidi="hi-IN"/>
        </w:rPr>
        <w:t>5-4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 xml:space="preserve"> </w:t>
      </w: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 xml:space="preserve">פסקאות 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>(</w:t>
      </w: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u w:val="single"/>
          <w:shd w:fill="auto" w:val="clear"/>
          <w:rtl w:val="true"/>
          <w:lang w:val="en-US" w:eastAsia="zh-CN" w:bidi="hi-IN"/>
        </w:rPr>
        <w:t xml:space="preserve">היקף פסקה לא יעלה על 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u w:val="single"/>
          <w:shd w:fill="auto" w:val="clear"/>
          <w:lang w:val="en-US" w:eastAsia="zh-CN" w:bidi="hi-IN"/>
        </w:rPr>
        <w:t>12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u w:val="single"/>
          <w:shd w:fill="auto" w:val="clear"/>
          <w:rtl w:val="true"/>
          <w:lang w:val="en-US" w:eastAsia="zh-CN" w:bidi="hi-IN"/>
        </w:rPr>
        <w:t xml:space="preserve"> </w:t>
      </w: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u w:val="single"/>
          <w:shd w:fill="auto" w:val="clear"/>
          <w:rtl w:val="true"/>
          <w:lang w:val="en-US" w:eastAsia="zh-CN" w:bidi="hi-IN"/>
        </w:rPr>
        <w:t>שורות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 xml:space="preserve">), </w:t>
      </w: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 xml:space="preserve">שבו עליכם לקדם טענה מקורית בנושא 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>"</w:t>
      </w: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>האם קיימת הבחנה בין בידור לתרבות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 xml:space="preserve">?". </w:t>
      </w:r>
    </w:p>
    <w:p>
      <w:pPr>
        <w:pStyle w:val="Style15"/>
        <w:ind w:hanging="0"/>
        <w:rPr>
          <w:b/>
          <w:b/>
          <w:bCs/>
        </w:rPr>
      </w:pP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>התשובה לשאלה תהווה את הטענה מרכזית של העבודה כולה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 xml:space="preserve">; </w:t>
      </w: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>זו תוצג במרכז העבודה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>תחומה בתחילתה על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>-</w:t>
      </w: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>ידי פסקה שבה הכנה להצגת עמדתכם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>ובסופה – על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>-</w:t>
      </w: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>ידי פסקה שבה בחינה קצרה שדנה בהשלכות אפשריות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>.</w:t>
      </w:r>
    </w:p>
    <w:p>
      <w:pPr>
        <w:pStyle w:val="Academic"/>
        <w:ind w:hanging="0"/>
        <w:rPr>
          <w:highlight w:val="none"/>
          <w:shd w:fill="auto" w:val="clear"/>
        </w:rPr>
      </w:pP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תרבות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>:</w:t>
      </w:r>
    </w:p>
    <w:p>
      <w:pPr>
        <w:pStyle w:val="Academic"/>
        <w:ind w:hanging="0"/>
        <w:rPr>
          <w:highlight w:val="none"/>
          <w:shd w:fill="auto" w:val="clear"/>
        </w:rPr>
      </w:pP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 xml:space="preserve">הרבה אנשים עם מאפיין משותף </w:t>
      </w:r>
      <w:r>
        <w:rPr>
          <w:rFonts w:ascii="David" w:hAnsi="David" w:cs="David"/>
          <w:b w:val="false"/>
          <w:b w:val="false"/>
          <w:bCs w:val="false"/>
          <w:i/>
          <w:i/>
          <w:iCs/>
          <w:shd w:fill="auto" w:val="clear"/>
          <w:rtl w:val="true"/>
        </w:rPr>
        <w:t>כלשהו</w:t>
      </w:r>
      <w:r>
        <w:rPr>
          <w:rFonts w:cs="David" w:ascii="David" w:hAnsi="David"/>
          <w:b w:val="false"/>
          <w:bCs w:val="false"/>
          <w:i/>
          <w:iCs/>
          <w:shd w:fill="auto" w:val="clear"/>
          <w:rtl w:val="true"/>
        </w:rPr>
        <w:t>:</w:t>
      </w:r>
    </w:p>
    <w:p>
      <w:pPr>
        <w:pStyle w:val="Academic"/>
        <w:ind w:hanging="0"/>
        <w:rPr>
          <w:b w:val="false"/>
          <w:b w:val="false"/>
          <w:bCs w:val="false"/>
          <w:i w:val="false"/>
          <w:i w:val="false"/>
          <w:iCs w:val="false"/>
        </w:rPr>
      </w:pPr>
      <w:r>
        <w:rPr>
          <w:b w:val="false"/>
          <w:bCs w:val="false"/>
          <w:i w:val="false"/>
          <w:iCs w:val="false"/>
          <w:rtl w:val="true"/>
        </w:rPr>
        <w:t xml:space="preserve">-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תרבות המערב</w:t>
      </w:r>
    </w:p>
    <w:p>
      <w:pPr>
        <w:pStyle w:val="Academic"/>
        <w:ind w:hanging="0"/>
        <w:rPr>
          <w:b w:val="false"/>
          <w:b w:val="false"/>
          <w:bCs w:val="false"/>
          <w:i w:val="false"/>
          <w:i w:val="false"/>
          <w:iCs w:val="false"/>
        </w:rPr>
      </w:pPr>
      <w:r>
        <w:rPr>
          <w:b w:val="false"/>
          <w:bCs w:val="false"/>
          <w:i w:val="false"/>
          <w:iCs w:val="false"/>
          <w:rtl w:val="true"/>
        </w:rPr>
        <w:t xml:space="preserve">-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תרבות הנהיגה </w:t>
      </w:r>
      <w:r>
        <w:rPr>
          <w:b w:val="false"/>
          <w:bCs w:val="false"/>
          <w:i w:val="false"/>
          <w:iCs w:val="false"/>
          <w:rtl w:val="true"/>
        </w:rPr>
        <w:t xml:space="preserve">\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צרכנות</w:t>
      </w:r>
    </w:p>
    <w:p>
      <w:pPr>
        <w:pStyle w:val="Academic"/>
        <w:ind w:hanging="0"/>
        <w:rPr>
          <w:b w:val="false"/>
          <w:b w:val="false"/>
          <w:bCs w:val="false"/>
          <w:i w:val="false"/>
          <w:i w:val="false"/>
          <w:iCs w:val="false"/>
        </w:rPr>
      </w:pPr>
      <w:r>
        <w:rPr>
          <w:b w:val="false"/>
          <w:bCs w:val="false"/>
          <w:i w:val="false"/>
          <w:iCs w:val="false"/>
          <w:rtl w:val="true"/>
        </w:rPr>
        <w:t xml:space="preserve">-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תרבות בני המאיה</w:t>
      </w:r>
    </w:p>
    <w:p>
      <w:pPr>
        <w:pStyle w:val="Academic"/>
        <w:ind w:hanging="0"/>
        <w:rPr>
          <w:b w:val="false"/>
          <w:b w:val="false"/>
          <w:bCs w:val="false"/>
          <w:i w:val="false"/>
          <w:i w:val="false"/>
          <w:iCs w:val="false"/>
        </w:rPr>
      </w:pPr>
      <w:r>
        <w:rPr>
          <w:b w:val="false"/>
          <w:bCs w:val="false"/>
          <w:i w:val="false"/>
          <w:iCs w:val="false"/>
          <w:rtl w:val="true"/>
        </w:rPr>
        <w:t xml:space="preserve">-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תרבות דתית</w:t>
      </w:r>
    </w:p>
    <w:p>
      <w:pPr>
        <w:pStyle w:val="Academic"/>
        <w:ind w:hanging="0"/>
        <w:rPr>
          <w:b w:val="false"/>
          <w:b w:val="false"/>
          <w:bCs w:val="false"/>
          <w:i w:val="false"/>
          <w:i w:val="false"/>
          <w:iCs w:val="false"/>
        </w:rPr>
      </w:pPr>
      <w:r>
        <w:rPr>
          <w:b w:val="false"/>
          <w:bCs w:val="false"/>
          <w:i w:val="false"/>
          <w:iCs w:val="false"/>
          <w:rtl w:val="true"/>
        </w:rPr>
        <w:t xml:space="preserve">-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תרבות השיח</w:t>
      </w:r>
    </w:p>
    <w:p>
      <w:pPr>
        <w:pStyle w:val="Academic"/>
        <w:ind w:hanging="0"/>
        <w:rPr>
          <w:b w:val="false"/>
          <w:b w:val="false"/>
          <w:bCs w:val="false"/>
          <w:i w:val="false"/>
          <w:i w:val="false"/>
          <w:iCs w:val="false"/>
        </w:rPr>
      </w:pP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טיפוח מאפיינים מסוימים בנפש </w:t>
      </w:r>
      <w:r>
        <w:rPr>
          <w:b w:val="false"/>
          <w:bCs w:val="false"/>
          <w:i w:val="false"/>
          <w:iCs w:val="false"/>
          <w:rtl w:val="true"/>
        </w:rPr>
        <w:t>(</w:t>
      </w:r>
      <w:r>
        <w:rPr>
          <w:b w:val="false"/>
          <w:b w:val="false"/>
          <w:bCs w:val="false"/>
          <w:i/>
          <w:i/>
          <w:iCs/>
          <w:rtl w:val="true"/>
        </w:rPr>
        <w:t>תרבות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צמחים</w:t>
      </w:r>
      <w:r>
        <w:rPr>
          <w:b w:val="false"/>
          <w:bCs w:val="false"/>
          <w:i w:val="false"/>
          <w:iCs w:val="false"/>
          <w:rtl w:val="true"/>
        </w:rPr>
        <w:t>) [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קיקרו – </w:t>
      </w:r>
      <w:r>
        <w:rPr>
          <w:b w:val="false"/>
          <w:bCs w:val="false"/>
          <w:i/>
          <w:iCs/>
        </w:rPr>
        <w:t>cultura animi</w:t>
      </w:r>
      <w:r>
        <w:rPr>
          <w:b w:val="false"/>
          <w:bCs w:val="false"/>
          <w:i w:val="false"/>
          <w:iCs w:val="false"/>
          <w:rtl w:val="true"/>
        </w:rPr>
        <w:t>]</w:t>
      </w:r>
    </w:p>
    <w:p>
      <w:pPr>
        <w:pStyle w:val="Academic"/>
        <w:ind w:hanging="0"/>
        <w:rPr>
          <w:b w:val="false"/>
          <w:b w:val="false"/>
          <w:bCs w:val="false"/>
          <w:i w:val="false"/>
          <w:i w:val="false"/>
          <w:iCs w:val="false"/>
        </w:rPr>
      </w:pPr>
      <w:r>
        <w:rPr>
          <w:b w:val="false"/>
          <w:bCs w:val="false"/>
          <w:i w:val="false"/>
          <w:iCs w:val="false"/>
          <w:rtl w:val="true"/>
        </w:rPr>
        <w:t>‘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לשהות במקום בעוצמתיות מספקת כדי לביית אותו – להיות אחראי אליו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להגיב לו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לטפל בו</w:t>
      </w:r>
      <w:r>
        <w:rPr>
          <w:b w:val="false"/>
          <w:bCs w:val="false"/>
          <w:i w:val="false"/>
          <w:iCs w:val="false"/>
          <w:rtl w:val="true"/>
        </w:rPr>
        <w:t xml:space="preserve">' </w:t>
      </w:r>
    </w:p>
    <w:p>
      <w:pPr>
        <w:pStyle w:val="Academic"/>
        <w:ind w:hanging="0"/>
        <w:rPr>
          <w:b w:val="false"/>
          <w:b w:val="false"/>
          <w:bCs w:val="false"/>
          <w:i w:val="false"/>
          <w:i w:val="false"/>
          <w:iCs w:val="false"/>
        </w:rPr>
      </w:pPr>
      <w:r>
        <w:rPr>
          <w:b w:val="false"/>
          <w:bCs w:val="false"/>
          <w:i w:val="false"/>
          <w:iCs w:val="false"/>
          <w:rtl w:val="true"/>
        </w:rPr>
        <w:t xml:space="preserve">- </w:t>
      </w:r>
      <w:r>
        <w:rPr>
          <w:b w:val="false"/>
          <w:bCs w:val="false"/>
          <w:i w:val="false"/>
          <w:iCs w:val="false"/>
        </w:rPr>
        <w:t>Edward.S.Casey</w:t>
      </w:r>
    </w:p>
    <w:p>
      <w:pPr>
        <w:pStyle w:val="Academic"/>
        <w:ind w:hanging="0"/>
        <w:rPr/>
      </w:pPr>
      <w:r>
        <w:rPr>
          <w:b w:val="false"/>
          <w:bCs w:val="false"/>
          <w:i w:val="false"/>
          <w:iCs w:val="false"/>
          <w:rtl w:val="true"/>
        </w:rPr>
        <w:t xml:space="preserve">-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דרך החיים של קבוצה מסוימת</w:t>
      </w:r>
    </w:p>
    <w:p>
      <w:pPr>
        <w:pStyle w:val="Academic"/>
        <w:ind w:hanging="0"/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</w:rPr>
      </w:pP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</w:r>
    </w:p>
    <w:p>
      <w:pPr>
        <w:pStyle w:val="Academic"/>
        <w:ind w:hanging="0"/>
        <w:rPr/>
      </w:pP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בידור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>:</w:t>
      </w:r>
    </w:p>
    <w:p>
      <w:pPr>
        <w:pStyle w:val="Academic"/>
        <w:ind w:hanging="0"/>
        <w:rPr/>
      </w:pP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פעולה ששובה את תשומת הלב ומעניקה סיפוק</w:t>
      </w:r>
    </w:p>
    <w:p>
      <w:pPr>
        <w:pStyle w:val="Academic"/>
        <w:ind w:hanging="0"/>
        <w:rPr>
          <w:highlight w:val="none"/>
          <w:shd w:fill="FFFF00" w:val="clear"/>
        </w:rPr>
      </w:pPr>
      <w:r>
        <w:rPr>
          <w:rFonts w:cs="David" w:ascii="David" w:hAnsi="David"/>
          <w:b w:val="false"/>
          <w:bCs w:val="false"/>
          <w:shd w:fill="FFFF00" w:val="clear"/>
          <w:rtl w:val="true"/>
        </w:rPr>
        <w:t>(</w:t>
      </w:r>
      <w:r>
        <w:rPr>
          <w:rFonts w:ascii="David" w:hAnsi="David" w:cs="David"/>
          <w:b w:val="false"/>
          <w:b w:val="false"/>
          <w:bCs w:val="false"/>
          <w:shd w:fill="FFFF00" w:val="clear"/>
          <w:rtl w:val="true"/>
        </w:rPr>
        <w:t>מה עם ‘תרבות’ שאינה קשורה בבידור</w:t>
      </w: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>? (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>לבוש</w:t>
      </w: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>שפה</w:t>
      </w: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>))</w:t>
      </w:r>
    </w:p>
    <w:p>
      <w:pPr>
        <w:pStyle w:val="Academic"/>
        <w:ind w:hanging="0"/>
        <w:rPr>
          <w:highlight w:val="none"/>
          <w:shd w:fill="FFFF00" w:val="clear"/>
        </w:rPr>
      </w:pP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>מושגים</w:t>
      </w: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>:</w:t>
      </w:r>
    </w:p>
    <w:p>
      <w:pPr>
        <w:pStyle w:val="Academic"/>
        <w:ind w:hanging="0"/>
        <w:rPr>
          <w:highlight w:val="none"/>
          <w:shd w:fill="FFFF00" w:val="clear"/>
        </w:rPr>
      </w:pP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>תרבות – קבוצה של אנשים החולקת מאפיינים משותפים</w:t>
      </w: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 xml:space="preserve">;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>ביות הנפש</w:t>
      </w:r>
    </w:p>
    <w:p>
      <w:pPr>
        <w:pStyle w:val="Academic"/>
        <w:ind w:hanging="0"/>
        <w:rPr>
          <w:highlight w:val="none"/>
          <w:shd w:fill="FFFF00" w:val="clear"/>
        </w:rPr>
      </w:pP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>חברה – קבוצה של פרטים בתקשורת חברתית עקבית</w:t>
      </w: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>או חולקת שטח</w:t>
      </w: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>או תחת אותה סמכות</w:t>
      </w:r>
    </w:p>
    <w:p>
      <w:pPr>
        <w:pStyle w:val="Academic"/>
        <w:ind w:hanging="0"/>
        <w:rPr>
          <w:highlight w:val="none"/>
          <w:shd w:fill="FFFF00" w:val="clear"/>
        </w:rPr>
      </w:pP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 xml:space="preserve">מנהג – אמונה או התנהגות העוברת בדורות – </w:t>
      </w:r>
      <w:r>
        <w:rPr>
          <w:rFonts w:ascii="David" w:hAnsi="David" w:cs="David"/>
          <w:b w:val="false"/>
          <w:b w:val="false"/>
          <w:bCs w:val="false"/>
          <w:i/>
          <w:i/>
          <w:iCs/>
          <w:shd w:fill="FFFF00" w:val="clear"/>
          <w:rtl w:val="true"/>
        </w:rPr>
        <w:t>ביטוי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 xml:space="preserve"> לתרבות</w:t>
      </w:r>
    </w:p>
    <w:p>
      <w:pPr>
        <w:pStyle w:val="Academic"/>
        <w:ind w:hanging="0"/>
        <w:rPr>
          <w:highlight w:val="none"/>
          <w:shd w:fill="FFFF00" w:val="clear"/>
        </w:rPr>
      </w:pP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>מסורת – כמו מנהג</w:t>
      </w:r>
    </w:p>
    <w:p>
      <w:pPr>
        <w:pStyle w:val="Academic"/>
        <w:ind w:hanging="0"/>
        <w:rPr>
          <w:highlight w:val="none"/>
          <w:shd w:fill="FFFF00" w:val="clear"/>
        </w:rPr>
      </w:pP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 xml:space="preserve">- </w:t>
      </w:r>
      <w:r>
        <w:rPr>
          <w:rFonts w:ascii="David" w:hAnsi="David" w:cs="David"/>
          <w:b/>
          <w:b/>
          <w:bCs/>
          <w:i w:val="false"/>
          <w:i w:val="false"/>
          <w:iCs w:val="false"/>
          <w:shd w:fill="FFFF00" w:val="clear"/>
          <w:rtl w:val="true"/>
        </w:rPr>
        <w:t>בידור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 xml:space="preserve"> – פעילות שמחזיקה את תשומת הלב של קהל ו</w:t>
      </w: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>\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 xml:space="preserve">או מהנה </w:t>
      </w: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>(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 xml:space="preserve">ביחיד – </w:t>
      </w:r>
      <w:r>
        <w:rPr>
          <w:rFonts w:ascii="David" w:hAnsi="David" w:cs="David"/>
          <w:b w:val="false"/>
          <w:b w:val="false"/>
          <w:bCs w:val="false"/>
          <w:i/>
          <w:i/>
          <w:iCs/>
          <w:shd w:fill="FFFF00" w:val="clear"/>
          <w:rtl w:val="true"/>
        </w:rPr>
        <w:t>פנאי</w:t>
      </w: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>).</w:t>
      </w:r>
    </w:p>
    <w:p>
      <w:pPr>
        <w:pStyle w:val="Academic"/>
        <w:ind w:hanging="0"/>
        <w:rPr>
          <w:highlight w:val="none"/>
          <w:shd w:fill="FFFF00" w:val="clear"/>
        </w:rPr>
      </w:pP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>אם פעולה מחזיקה את תשומת הלב של קהל</w:t>
      </w: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>בהכרח בין כל האנשים יש מאפיין משותף – ותרבות</w:t>
      </w: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 xml:space="preserve">הבידור הוא </w:t>
      </w:r>
      <w:r>
        <w:rPr>
          <w:rFonts w:ascii="David" w:hAnsi="David" w:cs="David"/>
          <w:b/>
          <w:b/>
          <w:bCs/>
          <w:i w:val="false"/>
          <w:i w:val="false"/>
          <w:iCs w:val="false"/>
          <w:shd w:fill="FFFF00" w:val="clear"/>
          <w:rtl w:val="true"/>
        </w:rPr>
        <w:t>בהכרח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 xml:space="preserve"> תרבות</w:t>
      </w: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 xml:space="preserve">התרבות </w:t>
      </w:r>
      <w:r>
        <w:rPr>
          <w:rFonts w:ascii="David" w:hAnsi="David" w:cs="David"/>
          <w:b/>
          <w:b/>
          <w:bCs/>
          <w:i/>
          <w:i/>
          <w:iCs/>
          <w:shd w:fill="FFFF00" w:val="clear"/>
          <w:rtl w:val="true"/>
        </w:rPr>
        <w:t>אינה בהכרח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 xml:space="preserve"> בידור</w:t>
      </w: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>.</w:t>
      </w:r>
    </w:p>
    <w:p>
      <w:pPr>
        <w:pStyle w:val="Academic"/>
        <w:ind w:hanging="0"/>
        <w:rPr/>
      </w:pP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טענות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>:</w:t>
      </w:r>
    </w:p>
    <w:p>
      <w:pPr>
        <w:pStyle w:val="Academic"/>
        <w:ind w:hanging="0"/>
        <w:rPr>
          <w:strike/>
        </w:rPr>
      </w:pPr>
      <w:r>
        <w:rPr>
          <w:rFonts w:cs="David" w:ascii="David" w:hAnsi="David"/>
          <w:b w:val="false"/>
          <w:bCs w:val="false"/>
          <w:strike/>
          <w:shd w:fill="auto" w:val="clear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strike/>
          <w:shd w:fill="auto" w:val="clear"/>
          <w:rtl w:val="true"/>
        </w:rPr>
        <w:t>התרבות היא כוח גיאופוליטי רב עוצמה</w:t>
      </w:r>
      <w:r>
        <w:rPr>
          <w:rFonts w:cs="David" w:ascii="David" w:hAnsi="David"/>
          <w:b w:val="false"/>
          <w:bCs w:val="false"/>
          <w:strike/>
          <w:shd w:fill="auto" w:val="clear"/>
          <w:rtl w:val="true"/>
        </w:rPr>
        <w:t>(?)</w:t>
      </w:r>
    </w:p>
    <w:p>
      <w:pPr>
        <w:pStyle w:val="Academic"/>
        <w:ind w:hanging="0"/>
        <w:rPr/>
      </w:pP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 xml:space="preserve">המילה 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>'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תרבות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'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מאחה בתוכה שני רעיונות שונים אך קשורים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>:</w:t>
      </w:r>
    </w:p>
    <w:p>
      <w:pPr>
        <w:pStyle w:val="Academic"/>
        <w:ind w:hanging="0"/>
        <w:rPr/>
      </w:pPr>
      <w:r>
        <w:rPr>
          <w:rFonts w:cs="David" w:ascii="David" w:hAnsi="David"/>
          <w:b w:val="false"/>
          <w:bCs w:val="false"/>
          <w:shd w:fill="auto" w:val="clear"/>
          <w:rtl w:val="true"/>
        </w:rPr>
        <w:tab/>
        <w:t>-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כל קבוצה של אנשים עם מאפיינים משותפים</w:t>
      </w:r>
    </w:p>
    <w:p>
      <w:pPr>
        <w:pStyle w:val="Academic"/>
        <w:ind w:hanging="0"/>
        <w:rPr/>
      </w:pP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ab/>
        <w:tab/>
        <w:t xml:space="preserve">-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במובנה ההמוני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התרבות מעצבת את הבידור והבידור מעצב את התרבות 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>(</w:t>
      </w:r>
      <w:r>
        <w:rPr>
          <w:rFonts w:ascii="David" w:hAnsi="David" w:cs="David"/>
          <w:b w:val="false"/>
          <w:b w:val="false"/>
          <w:bCs w:val="false"/>
          <w:i/>
          <w:i/>
          <w:iCs/>
          <w:shd w:fill="auto" w:val="clear"/>
          <w:rtl w:val="true"/>
        </w:rPr>
        <w:t>לחם ושעשועים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>)</w:t>
      </w:r>
    </w:p>
    <w:p>
      <w:pPr>
        <w:pStyle w:val="Academic"/>
        <w:ind w:hanging="0"/>
        <w:rPr/>
      </w:pP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ab/>
        <w:t xml:space="preserve">-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טיפוח הנפש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ההיפטרות מהברבריזם והפיכה לאדם 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>'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על מלא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>' (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</w:rPr>
        <w:t>cultura animi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האופי הטוב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>?)</w:t>
      </w:r>
    </w:p>
    <w:p>
      <w:pPr>
        <w:pStyle w:val="Academic"/>
        <w:ind w:hanging="0"/>
        <w:rPr/>
      </w:pPr>
      <w:r>
        <w:rPr>
          <w:rFonts w:cs="David" w:ascii="David" w:hAnsi="David"/>
          <w:b w:val="false"/>
          <w:bCs w:val="false"/>
          <w:shd w:fill="auto" w:val="clear"/>
          <w:rtl w:val="true"/>
        </w:rPr>
        <w:tab/>
        <w:tab/>
        <w:t xml:space="preserve">-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במובנה הפילוסופי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התרבות לעיתים נעזרת בבידור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אך זה אינו חיוני לה</w:t>
      </w:r>
    </w:p>
    <w:p>
      <w:pPr>
        <w:pStyle w:val="Style15"/>
        <w:rPr>
          <w:rFonts w:ascii="David" w:hAnsi="David" w:eastAsia="Nimbus Sans" w:cs="David"/>
          <w:b/>
          <w:b/>
          <w:bCs/>
          <w:i w:val="false"/>
          <w:i w:val="false"/>
          <w:iCs w:val="false"/>
          <w:color w:val="auto"/>
          <w:kern w:val="2"/>
          <w:sz w:val="24"/>
          <w:szCs w:val="24"/>
          <w:shd w:fill="auto" w:val="clear"/>
          <w:lang w:val="en-US" w:eastAsia="zh-CN" w:bidi="hi-IN"/>
        </w:rPr>
      </w:pPr>
      <w:r>
        <w:rPr>
          <w:rFonts w:eastAsia="Nimbus Sans" w:cs="David" w:ascii="David" w:hAnsi="David"/>
          <w:b/>
          <w:bCs/>
          <w:i w:val="false"/>
          <w:iCs w:val="false"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>"</w:t>
      </w:r>
      <w:r>
        <w:rPr>
          <w:rFonts w:ascii="David" w:hAnsi="David" w:eastAsia="Nimbus Sans" w:cs="David"/>
          <w:b/>
          <w:b/>
          <w:bCs/>
          <w:i w:val="false"/>
          <w:i w:val="false"/>
          <w:iCs w:val="false"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>האם קיימת הבחנה בין בידור לתרבות</w:t>
      </w:r>
      <w:r>
        <w:rPr>
          <w:rFonts w:eastAsia="Nimbus Sans" w:cs="David" w:ascii="David" w:hAnsi="David"/>
          <w:b/>
          <w:bCs/>
          <w:i w:val="false"/>
          <w:iCs w:val="false"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 xml:space="preserve">?" </w:t>
      </w:r>
    </w:p>
    <w:p>
      <w:pPr>
        <w:pStyle w:val="Style15"/>
        <w:rPr>
          <w:rFonts w:ascii="David" w:hAnsi="David" w:cs="David"/>
          <w:b w:val="false"/>
          <w:b w:val="false"/>
          <w:bCs w:val="false"/>
          <w:shd w:fill="auto" w:val="clear"/>
        </w:rPr>
      </w:pPr>
      <w:r>
        <w:rPr>
          <w:rFonts w:ascii="David" w:hAnsi="David" w:eastAsia="Nimbus Sans" w:cs="David"/>
          <w:b w:val="false"/>
          <w:b w:val="false"/>
          <w:bCs w:val="false"/>
          <w:i/>
          <w:i/>
          <w:i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>הבידור הוא בהכרח תרבות</w:t>
      </w:r>
      <w:r>
        <w:rPr>
          <w:rFonts w:eastAsia="Nimbus Sans" w:cs="David" w:ascii="David" w:hAnsi="David"/>
          <w:b w:val="false"/>
          <w:bCs w:val="false"/>
          <w:i/>
          <w:i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 w:val="false"/>
          <w:b w:val="false"/>
          <w:bCs w:val="false"/>
          <w:i/>
          <w:i/>
          <w:i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>התרבות אינה בהכרח בידור</w:t>
      </w:r>
      <w:r>
        <w:rPr>
          <w:rFonts w:eastAsia="Nimbus Sans" w:cs="David" w:ascii="David" w:hAnsi="David"/>
          <w:b w:val="false"/>
          <w:bCs w:val="false"/>
          <w:i/>
          <w:i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>.</w:t>
      </w:r>
    </w:p>
    <w:p>
      <w:pPr>
        <w:pStyle w:val="Style15"/>
        <w:rPr>
          <w:rFonts w:ascii="David" w:hAnsi="David" w:cs="David"/>
          <w:b/>
          <w:b/>
          <w:bCs/>
          <w:shd w:fill="auto" w:val="clear"/>
        </w:rPr>
      </w:pPr>
      <w:r>
        <w:rPr>
          <w:rFonts w:ascii="David" w:hAnsi="David" w:eastAsia="Nimbus Sans" w:cs="David"/>
          <w:b/>
          <w:b/>
          <w:bCs/>
          <w:i/>
          <w:i/>
          <w:i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>מהלך</w:t>
      </w:r>
      <w:r>
        <w:rPr>
          <w:rFonts w:eastAsia="Nimbus Sans" w:cs="David" w:ascii="David" w:hAnsi="David"/>
          <w:b/>
          <w:bCs/>
          <w:i/>
          <w:i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>:</w:t>
      </w:r>
    </w:p>
    <w:p>
      <w:pPr>
        <w:pStyle w:val="Style15"/>
        <w:rPr>
          <w:rFonts w:ascii="David" w:hAnsi="David" w:cs="David"/>
          <w:b/>
          <w:b/>
          <w:bCs/>
          <w:shd w:fill="auto" w:val="clear"/>
        </w:rPr>
      </w:pPr>
      <w:r>
        <w:rPr>
          <w:rFonts w:ascii="David" w:hAnsi="David" w:eastAsia="Nimbus Sans" w:cs="David"/>
          <w:b/>
          <w:b/>
          <w:bCs/>
          <w:i/>
          <w:i/>
          <w:i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 xml:space="preserve">בידור גס מייצר את תרבות הכלל </w:t>
      </w:r>
      <w:r>
        <w:rPr>
          <w:rFonts w:eastAsia="Nimbus Sans" w:cs="David" w:ascii="David" w:hAnsi="David"/>
          <w:b/>
          <w:bCs/>
          <w:i/>
          <w:i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 xml:space="preserve">&gt; </w:t>
      </w:r>
      <w:r>
        <w:rPr>
          <w:rFonts w:ascii="David" w:hAnsi="David" w:eastAsia="Nimbus Sans" w:cs="David"/>
          <w:b/>
          <w:b/>
          <w:bCs/>
          <w:i/>
          <w:i/>
          <w:i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 xml:space="preserve">תרבות הכלל היא המצע לתרבות הפרט </w:t>
      </w:r>
      <w:r>
        <w:rPr>
          <w:rFonts w:eastAsia="Nimbus Sans" w:cs="David" w:ascii="David" w:hAnsi="David"/>
          <w:b/>
          <w:bCs/>
          <w:i/>
          <w:i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 xml:space="preserve">&gt; </w:t>
      </w:r>
      <w:r>
        <w:rPr>
          <w:rFonts w:ascii="David" w:hAnsi="David" w:eastAsia="Nimbus Sans" w:cs="David"/>
          <w:b/>
          <w:b/>
          <w:bCs/>
          <w:i/>
          <w:i/>
          <w:i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 xml:space="preserve">תרבות הפרט מייצרת בידור </w:t>
      </w:r>
      <w:r>
        <w:rPr>
          <w:rFonts w:eastAsia="Nimbus Sans" w:cs="David" w:ascii="David" w:hAnsi="David"/>
          <w:b/>
          <w:bCs/>
          <w:i/>
          <w:i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 xml:space="preserve">&gt; </w:t>
      </w:r>
      <w:r>
        <w:rPr>
          <w:rFonts w:ascii="David" w:hAnsi="David" w:eastAsia="Nimbus Sans" w:cs="David"/>
          <w:b/>
          <w:b/>
          <w:bCs/>
          <w:i/>
          <w:i/>
          <w:i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 xml:space="preserve">הבידור מייצר את תרבות הכלל </w:t>
      </w:r>
      <w:r>
        <w:rPr>
          <w:rFonts w:eastAsia="Nimbus Sans" w:cs="David" w:ascii="David" w:hAnsi="David"/>
          <w:b/>
          <w:bCs/>
          <w:i/>
          <w:i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 xml:space="preserve">&gt; </w:t>
      </w:r>
      <w:r>
        <w:rPr>
          <w:rFonts w:ascii="David" w:hAnsi="David" w:eastAsia="Nimbus Sans" w:cs="David"/>
          <w:b/>
          <w:b/>
          <w:bCs/>
          <w:i/>
          <w:i/>
          <w:i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>תרבות הכלל מייצרת בידור גס</w:t>
      </w:r>
    </w:p>
    <w:p>
      <w:pPr>
        <w:pStyle w:val="Academic"/>
        <w:ind w:hanging="0"/>
        <w:rPr>
          <w:rFonts w:ascii="David" w:hAnsi="David" w:cs="David"/>
          <w:b w:val="false"/>
          <w:b w:val="false"/>
          <w:bCs w:val="false"/>
          <w:shd w:fill="auto" w:val="clear"/>
        </w:rPr>
      </w:pPr>
      <w:r>
        <w:rPr>
          <w:rFonts w:cs="David" w:ascii="David" w:hAnsi="David"/>
          <w:b w:val="false"/>
          <w:bCs w:val="false"/>
          <w:shd w:fill="auto" w:val="clear"/>
          <w:rtl w:val="true"/>
        </w:rPr>
      </w:r>
    </w:p>
    <w:p>
      <w:pPr>
        <w:pStyle w:val="Academic"/>
        <w:ind w:hanging="0"/>
        <w:rPr>
          <w:rFonts w:ascii="David" w:hAnsi="David" w:cs="David"/>
          <w:b w:val="false"/>
          <w:b w:val="false"/>
          <w:bCs w:val="false"/>
          <w:shd w:fill="auto" w:val="clear"/>
        </w:rPr>
      </w:pPr>
      <w:r>
        <w:rPr>
          <w:rFonts w:cs="David" w:ascii="David" w:hAnsi="David"/>
          <w:b w:val="false"/>
          <w:bCs w:val="false"/>
          <w:shd w:fill="auto" w:val="clear"/>
          <w:rtl w:val="true"/>
        </w:rPr>
      </w:r>
    </w:p>
    <w:p>
      <w:pPr>
        <w:pStyle w:val="Academic"/>
        <w:ind w:hanging="0"/>
        <w:rPr>
          <w:i w:val="false"/>
          <w:i w:val="false"/>
          <w:iCs w:val="false"/>
        </w:rPr>
      </w:pPr>
      <w:commentRangeStart w:id="0"/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בין התרבות לבידור מתקיימים יחסי גומלין כה הדוקים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עד שבלתי ניתן להבחין ביניהם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בידור על כל סוגיו בונה תרבות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שממנה צומח בידור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שבונה שוב תרבות וחוזר חלילה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</w:r>
      <w:commentRangeEnd w:id="0"/>
      <w:r>
        <w:commentReference w:id="0"/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commentRangeStart w:id="1"/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תרבות אינה אלא קבוצה של בני אדם שמאפיינים משותפים כלשהם קושרים ביניהם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ללא קשר לזהותם של בני האדם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גודלה של הקבוצה או טיבם של אותם מאפיינים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>.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</w:r>
      <w:commentRangeEnd w:id="1"/>
      <w:r>
        <w:commentReference w:id="1"/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ניתן להמחיש טענה זו באמצעות מקרה קיצון בהיסטוריה האנושית – עלייתה לגדולה של האימפריה הרומית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הניצבה כארגון האנושי הגדול ביותר משחר ההיסטוריה משיא כוחה ועד לאלף השנים שאחרי נפילתה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רומא חלשה על למעלה מחמישית מאוכלוסיית העולם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מרביתה עמים שאינם חולקים דבר לא עם הרומאים ולא אלה עם אלה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בניסיונה לשלוט על מגוון כה רחב של בני אדם הנחילה רומא את מדיניות </w:t>
      </w:r>
      <w:r>
        <w:rPr>
          <w:rFonts w:ascii="David" w:hAnsi="David" w:cs="David"/>
          <w:b w:val="false"/>
          <w:b w:val="false"/>
          <w:bCs w:val="false"/>
          <w:i/>
          <w:i/>
          <w:iCs/>
          <w:shd w:fill="auto" w:val="clear"/>
          <w:rtl w:val="true"/>
        </w:rPr>
        <w:t>לחם ושעשועים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 – שתכליתה לספק לכל בני האדם בגבולותיה מזון ובידור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הבידור רומי בוטה נסמך בעיקרו על מאפיינים גסים דוגמת אלימות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סקרנות ותאווה – וכך משך אליו צופים בהמוניהם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אלו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משלקחו חלק בתרבות הרומית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חלקו מאפיינים משותפים חדשים שאיחו אותם בהדרגה לכדי תרבות 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עליה שלטה רומא ביד רמה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>.</w:t>
      </w:r>
    </w:p>
    <w:p>
      <w:pPr>
        <w:pStyle w:val="Academic"/>
        <w:ind w:hanging="0"/>
        <w:rPr>
          <w:i w:val="false"/>
          <w:i w:val="false"/>
          <w:iCs w:val="false"/>
        </w:rPr>
      </w:pP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ab/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אולם מאותה רומא בדיוק עולה מובן שונה לחלוטין למושג התרבות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הפילוסוף הרומי מרקוס טוליוס קיקרו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שצמח מאותה תרבות השפע הרומית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טבע את המונח תרבות כ</w:t>
      </w:r>
      <w:r>
        <w:rPr>
          <w:rFonts w:ascii="David" w:hAnsi="David" w:cs="David"/>
          <w:b w:val="false"/>
          <w:b w:val="false"/>
          <w:bCs w:val="false"/>
          <w:i/>
          <w:i/>
          <w:iCs/>
          <w:shd w:fill="auto" w:val="clear"/>
          <w:rtl w:val="true"/>
        </w:rPr>
        <w:t>ביות הנפש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 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>(</w:t>
      </w:r>
      <w:r>
        <w:rPr>
          <w:rFonts w:cs="David"/>
          <w:b w:val="false"/>
          <w:bCs w:val="false"/>
          <w:i/>
          <w:iCs/>
          <w:shd w:fill="auto" w:val="clear"/>
        </w:rPr>
        <w:t>Cultura Animi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>).</w:t>
      </w:r>
      <w:commentRangeStart w:id="2"/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האדם המתורבת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טוען קיקרו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הוא זה אשר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משגבר על יצריו הבסיסיים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מצליח לביית את נפשו ובכך לממש את מלוא מובן האנושיות שבו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</w:r>
      <w:commentRangeEnd w:id="2"/>
      <w:r>
        <w:commentReference w:id="2"/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את נפש האדם הוא מושל לצמח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ואת התרבות לחקלאי שמביית אותו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מטפח אותו ומביא אותו לכדי שגשוג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פרשנות טלאולוגית זו מציבה את התרבות בראש ובראשונה כעניינו של היחיד בשאיפתו להטיב עם עצמו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בשונה לתרבות הכלל – שאינה טרודה בזהותו של היחיד מלבד מה שחולק עם הכלל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>.</w:t>
      </w:r>
    </w:p>
    <w:p>
      <w:pPr>
        <w:pStyle w:val="Academic"/>
        <w:ind w:hanging="0"/>
        <w:rPr>
          <w:i w:val="false"/>
          <w:i w:val="false"/>
          <w:iCs w:val="false"/>
        </w:rPr>
      </w:pP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ab/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בין סוגי הבידור שנתפסים בדעה הרווחת כמתורבתים – דוגמת האומנויות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המוזיקה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התיאטרון והספרות 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מקשרת כחוט השני השאיפה לביות הנפש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ומכאן הגדרתם ככאלה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אולם בידור כזה פונה אף הוא למאפיינים המשותפים של צרכניו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יהיו אלו אשר יהיו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מאחד ביניהם 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ומעצב אותם יחד לתרבות אחת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>.</w:t>
      </w:r>
      <w:commentRangeStart w:id="3"/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בין התרבות לבידור מצטיירים יחסי גומלין שקשה להתכחש להם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: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הבידור מייצר תרבות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שמייצרת בידור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שמייצר תרבות וחוזר חלילה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</w:r>
      <w:commentRangeEnd w:id="3"/>
      <w:r>
        <w:commentReference w:id="3"/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כל הבחנה בין התרבות לבידור נותרת חלקית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שכן האחת אינ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 מתקיימת כפי שהיא ללא האחר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ונהפוכו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>.</w:t>
      </w:r>
    </w:p>
    <w:p>
      <w:pPr>
        <w:pStyle w:val="Academic"/>
        <w:spacing w:before="0" w:after="115"/>
        <w:ind w:hanging="0"/>
        <w:contextualSpacing/>
        <w:rPr>
          <w:i w:val="false"/>
          <w:i w:val="false"/>
          <w:iCs w:val="false"/>
        </w:rPr>
      </w:pP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ab/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לאור חלקו הבלתי נפרד מן התרבות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תהיה זו טעות מרה להתייחס לבידור בקלות ראש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להחלטות תמימות למראה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דוגמת שידור בידור אמריקני ברחבי העולם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יש השלכות תרבותיות מרחיקות לכת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;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בדומה לנתיני הרומאים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צרכני בידור זה הופכים במובן עמוק לבני התרבות האמריקנית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עם כל ההשלכות שבדבר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בכוחה של אותה תרבות לחולל תמורות המעצבות את המציאות כנגד כל הסיכויים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הצבא האפגני 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חמוש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ממומן ומאומן בידי מעצמות המערב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נחל תבוסה קשה לכנופיות הטאליבאן דלות האמצעים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;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משום שלא ראו עצמם בני אותה תרבות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האפגנים נכנעו לאנשי הטאליבאן – המאוגדים בעיקר מכוח השקפתם הדתית – כמעט לא קרב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החיילים הרוסים שנכנסו לחרסון האוקראינית זכו לא לפרחים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כפי שציפו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אלא לאש חיה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הרוסים ראו באוקראינים בני תרבותם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אך אלו תופסים עצמם כתרבות נפרדת – בשמה מעיזים להתנגד לאויב העולה עליהם בכל קנה מידה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אירועים מכוננים דוגמת אלו מתחילים בקטן – בבידור הפשוט ביותר מתעצבות אומות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ובבידור העמוק יותר שצומח מתוכן מתעצבות השקפות עולם המאגדות אותן יחד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>.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comments.xml><?xml version="1.0" encoding="utf-8"?>
<w:comment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comment w:id="0" w:author="Unknown Author" w:date="2023-01-05T17:52:23Z" w:initials="">
    <w:p>
      <w:r>
        <w:rPr>
          <w:rFonts w:ascii="Liberation Serif" w:hAnsi="Liberation Serif" w:eastAsia="Nimbus Sans" w:cs="FreeSans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0"/>
          <w:sz w:val="20"/>
          <w:szCs w:val="20"/>
          <w:u w:val="none"/>
          <w:vertAlign w:val="baseline"/>
          <w:em w:val="none"/>
          <w:lang w:val="en-US" w:eastAsia="zh-CN" w:bidi="hi-IN"/>
        </w:rPr>
        <w:t>מבוא - הצגת הטענה המרכזית</w:t>
      </w:r>
    </w:p>
  </w:comment>
  <w:comment w:id="1" w:author="Unknown Author" w:date="2023-01-05T17:52:48Z" w:initials="">
    <w:p>
      <w:r>
        <w:rPr>
          <w:rFonts w:ascii="Liberation Serif" w:hAnsi="Liberation Serif" w:eastAsia="Nimbus Sans" w:cs="FreeSans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0"/>
          <w:sz w:val="20"/>
          <w:szCs w:val="20"/>
          <w:u w:val="none"/>
          <w:vertAlign w:val="baseline"/>
          <w:em w:val="none"/>
          <w:lang w:val="en-US" w:eastAsia="zh-CN" w:bidi="hi-IN"/>
        </w:rPr>
        <w:t>טענה ראשונה</w:t>
      </w:r>
    </w:p>
  </w:comment>
  <w:comment w:id="2" w:author="Unknown Author" w:date="2023-01-03T21:35:20Z" w:initials="">
    <w:p>
      <w:r>
        <w:rPr>
          <w:rFonts w:ascii="Liberation Serif" w:hAnsi="Liberation Serif" w:eastAsia="Nimbus Sans" w:cs="FreeSans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0"/>
          <w:sz w:val="20"/>
          <w:szCs w:val="20"/>
          <w:u w:val="none"/>
          <w:vertAlign w:val="baseline"/>
          <w:em w:val="none"/>
          <w:lang w:val="en-US" w:eastAsia="zh-CN" w:bidi="hi-IN"/>
        </w:rPr>
        <w:t>טענה שנייה</w:t>
      </w:r>
    </w:p>
  </w:comment>
  <w:comment w:id="3" w:author="Unknown Author" w:date="2023-01-04T20:09:55Z" w:initials="">
    <w:p>
      <w:r>
        <w:rPr>
          <w:rFonts w:ascii="Liberation Serif" w:hAnsi="Liberation Serif" w:eastAsia="Nimbus Sans" w:cs="FreeSans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0"/>
          <w:sz w:val="20"/>
          <w:szCs w:val="20"/>
          <w:u w:val="none"/>
          <w:vertAlign w:val="baseline"/>
          <w:em w:val="none"/>
          <w:lang w:val="en-US" w:eastAsia="zh-CN" w:bidi="hi-IN"/>
        </w:rPr>
        <w:t xml:space="preserve">טענה מרכזית </w:t>
      </w:r>
    </w:p>
  </w:comment>
</w:comments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Narkisim">
    <w:charset w:val="01"/>
    <w:family w:val="roman"/>
    <w:pitch w:val="variable"/>
  </w:font>
  <w:font w:name="David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en-US" w:eastAsia="" w:bidi="he-IL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imbus Sans" w:cs="FreeSans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imbus Sans" w:cs="FreeSans"/>
      <w:color w:val="auto"/>
      <w:kern w:val="2"/>
      <w:sz w:val="24"/>
      <w:szCs w:val="24"/>
      <w:lang w:val="en-US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טקסט הערה תו"/>
    <w:basedOn w:val="DefaultParagraphFont"/>
    <w:link w:val="Annotationtext"/>
    <w:uiPriority w:val="99"/>
    <w:semiHidden/>
    <w:qFormat/>
    <w:rPr>
      <w:rFonts w:cs="Mangal"/>
      <w:sz w:val="20"/>
      <w:szCs w:val="18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 w:customStyle="1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avid CLM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/>
  </w:style>
  <w:style w:type="paragraph" w:styleId="Caption1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Academic" w:customStyle="1">
    <w:name w:val="Academic"/>
    <w:basedOn w:val="Normal"/>
    <w:qFormat/>
    <w:pPr>
      <w:bidi w:val="1"/>
      <w:spacing w:lineRule="auto" w:line="360" w:before="0" w:after="115"/>
      <w:ind w:firstLine="346"/>
      <w:contextualSpacing/>
      <w:jc w:val="both"/>
    </w:pPr>
    <w:rPr>
      <w:rFonts w:ascii="Times New Roman" w:hAnsi="Times New Roman" w:cs="David Libre"/>
      <w:b/>
      <w:bCs/>
    </w:rPr>
  </w:style>
  <w:style w:type="paragraph" w:styleId="Annotationtext">
    <w:name w:val="annotation text"/>
    <w:basedOn w:val="Normal"/>
    <w:link w:val="Style14"/>
    <w:uiPriority w:val="99"/>
    <w:semiHidden/>
    <w:unhideWhenUsed/>
    <w:qFormat/>
    <w:pPr/>
    <w:rPr>
      <w:rFonts w:cs="Mangal"/>
      <w:sz w:val="20"/>
      <w:szCs w:val="18"/>
    </w:rPr>
  </w:style>
  <w:style w:type="paragraph" w:styleId="Style15">
    <w:name w:val="אקדמי"/>
    <w:basedOn w:val="Normal"/>
    <w:qFormat/>
    <w:pPr>
      <w:bidi w:val="1"/>
      <w:spacing w:lineRule="auto" w:line="360"/>
      <w:jc w:val="both"/>
    </w:pPr>
    <w:rPr>
      <w:rFonts w:ascii="Narkisim" w:hAnsi="Narkisim" w:cs="Narkisim"/>
      <w:sz w:val="24"/>
      <w:szCs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comments" Target="comment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929</TotalTime>
  <Application>LibreOffice/7.4.3.2$Linux_X86_64 LibreOffice_project/40$Build-2</Application>
  <AppVersion>15.0000</AppVersion>
  <Pages>3</Pages>
  <Words>791</Words>
  <Characters>3780</Characters>
  <CharactersWithSpaces>4565</CharactersWithSpaces>
  <Paragraphs>38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2022-12-12T16:39:00Z</dcterms:created>
  <dc:creator/>
  <dc:description/>
  <dc:language>en-US</dc:language>
  <cp:lastModifiedBy/>
  <dcterms:modified xsi:type="dcterms:W3CDTF">2023-01-06T17:47:03Z</dcterms:modified>
  <cp:revision>138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