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8"/>
        <w:spacing w:lineRule="auto" w:line="360" w:before="0" w:after="0"/>
        <w:ind w:left="0" w:right="0" w:hanging="0"/>
        <w:contextualSpacing/>
        <w:jc w:val="both"/>
        <w:rPr/>
      </w:pPr>
      <w:r>
        <w:rPr>
          <w:b w:val="false"/>
          <w:b w:val="false"/>
          <w:bCs w:val="false"/>
          <w:rtl w:val="true"/>
        </w:rPr>
        <w:t>הענישה הגופנית בבתי הספר היא תופעה נפוצה ברחבי העולם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החוצה תרבויות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מעמדות וגילאים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ההגדרה המקובלת לענישה גופנית היא הפעלת כוח פיזי כנגד התלמידים</w:t>
      </w:r>
      <w:r>
        <w:rPr>
          <w:b w:val="false"/>
          <w:bCs w:val="false"/>
          <w:rtl w:val="true"/>
        </w:rPr>
        <w:t xml:space="preserve">,  </w:t>
      </w:r>
      <w:r>
        <w:rPr>
          <w:b w:val="false"/>
          <w:b w:val="false"/>
          <w:bCs w:val="false"/>
          <w:rtl w:val="true"/>
        </w:rPr>
        <w:t>בין שמדובר ולו בטפיחה הקלה ביותר ועד לפגיעה הדורשת התערבות רפואית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בתגובה להתנהגות בלתי רצויה של התלמיד אותה מבקשת הענישה להפסיק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בעוד שעל יעילותה של ענישה זו בביסוס צייתנות מיידית אין כל עוררין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וחרף הויכוח המוסרי סביבה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אבקש לטעון כי אין לאפשר למורים לנקוט בענישה גופנית כנגד תלמידיהם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בראש ובראשונה משום שהענישה בכלל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והענישה הגופנית בפרט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כושלת בתכליתה לחנך תלמידים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את טענה זו אבסס על ממצאיה של הפסיכולוגיה בכלל והפסיכולוגיה ההתנהגותית בפרט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אשר מאז ראשיתה בתחילת המאה העשרים חקרה לעומק את תהליך החינוך על כלל חלקיו – לרבות יעילותה של הענישה ככלי חינוכי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הפסיכולוגיה מגדירה את החינוך כהקניית הרגלים – נקיטה חוזרת ונשנית בתהנהגויות מסוימות בטווח הארוך בהיעדר מניעים חיצוניים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רכישת הרגל מתוארת כתוצר של למידה תפעולית – התהליך שבו אורגניזם מקשר בין התנהגותו היזומה להשלכותיה בעולם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לרשותו של המחנך המבקש להקנות למידה זו שני אמצעים לעשות כן</w:t>
      </w:r>
      <w:r>
        <w:rPr>
          <w:b w:val="false"/>
          <w:bCs w:val="false"/>
          <w:rtl w:val="true"/>
        </w:rPr>
        <w:t xml:space="preserve">: </w:t>
      </w:r>
      <w:r>
        <w:rPr>
          <w:b w:val="false"/>
          <w:b w:val="false"/>
          <w:bCs w:val="false"/>
          <w:rtl w:val="true"/>
        </w:rPr>
        <w:t>הענישה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והחיזוק החיובי</w:t>
      </w:r>
      <w:r>
        <w:rPr>
          <w:b w:val="false"/>
          <w:bCs w:val="false"/>
          <w:rtl w:val="true"/>
        </w:rPr>
        <w:t>.</w:t>
      </w:r>
    </w:p>
    <w:p>
      <w:pPr>
        <w:pStyle w:val="Style8"/>
        <w:ind w:left="0" w:right="0" w:hanging="0"/>
        <w:rPr>
          <w:b w:val="false"/>
          <w:bCs w:val="false"/>
        </w:rPr>
      </w:pPr>
      <w:r>
        <w:rPr>
          <w:b w:val="false"/>
          <w:bCs w:val="false"/>
          <w:rtl w:val="true"/>
        </w:rPr>
        <w:tab/>
      </w:r>
      <w:r>
        <w:rPr>
          <w:b w:val="false"/>
          <w:b w:val="false"/>
          <w:bCs w:val="false"/>
          <w:rtl w:val="true"/>
        </w:rPr>
        <w:t>עונש מוגדר כחשיפתו של או</w:t>
      </w:r>
      <w:r>
        <w:rPr>
          <w:b w:val="false"/>
          <w:bCs w:val="false"/>
        </w:rPr>
        <w:t>r</w:t>
      </w:r>
      <w:r>
        <w:rPr>
          <w:b w:val="false"/>
          <w:b w:val="false"/>
          <w:bCs w:val="false"/>
          <w:rtl w:val="true"/>
        </w:rPr>
        <w:t>גניזם לגירוי בלתי</w:t>
      </w:r>
      <w:r>
        <w:rPr>
          <w:b w:val="false"/>
          <w:bCs w:val="false"/>
          <w:rtl w:val="true"/>
        </w:rPr>
        <w:t>-</w:t>
      </w:r>
      <w:r>
        <w:rPr>
          <w:b w:val="false"/>
          <w:b w:val="false"/>
          <w:bCs w:val="false"/>
          <w:rtl w:val="true"/>
        </w:rPr>
        <w:t>נעים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כתגובה לנקיטה בהתנהגות בלתי רצויה</w:t>
      </w:r>
      <w:r>
        <w:rPr>
          <w:b w:val="false"/>
          <w:bCs w:val="false"/>
          <w:rtl w:val="true"/>
        </w:rPr>
        <w:t xml:space="preserve">.  </w:t>
      </w:r>
      <w:r>
        <w:rPr>
          <w:b w:val="false"/>
          <w:b w:val="false"/>
          <w:bCs w:val="false"/>
          <w:rtl w:val="true"/>
        </w:rPr>
        <w:t>הענישה מתמקדת באותה התנהגות בלבד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אותה היא מבקשת לדכא</w:t>
      </w:r>
      <w:r>
        <w:rPr>
          <w:b w:val="false"/>
          <w:bCs w:val="false"/>
          <w:rtl w:val="true"/>
        </w:rPr>
        <w:t xml:space="preserve">: </w:t>
      </w:r>
      <w:r>
        <w:rPr>
          <w:b w:val="false"/>
          <w:b w:val="false"/>
          <w:bCs w:val="false"/>
          <w:rtl w:val="true"/>
        </w:rPr>
        <w:t>משום שנקיטה בהתנהגות זו הובילה לתוצאה בלתי רצויה עבורו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יצור בעל תבונה יקשר בינה לבין השלכות שליליות אלו ויירתע מלנקוט בה שוב</w:t>
      </w:r>
      <w:r>
        <w:rPr>
          <w:b w:val="false"/>
          <w:bCs w:val="false"/>
          <w:rtl w:val="true"/>
        </w:rPr>
        <w:t xml:space="preserve">: </w:t>
      </w:r>
      <w:r>
        <w:rPr>
          <w:b w:val="false"/>
          <w:b w:val="false"/>
          <w:bCs w:val="false"/>
          <w:rtl w:val="true"/>
        </w:rPr>
        <w:t>הסתברותה של התנהגות זו להתרחש תפחת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ובמקומה תינקט בהכרח התנהגות אחרת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בעוד שמחנכים מניחים לעיתים קרובות שזו תהיה חיובית ורצויה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 xml:space="preserve">למעשה אין </w:t>
      </w:r>
      <w:r>
        <w:rPr>
          <w:b w:val="false"/>
          <w:b w:val="false"/>
          <w:bCs w:val="false"/>
          <w:rtl w:val="true"/>
        </w:rPr>
        <w:t>ב</w:t>
      </w:r>
      <w:r>
        <w:rPr>
          <w:b w:val="false"/>
          <w:b w:val="false"/>
          <w:bCs w:val="false"/>
          <w:rtl w:val="true"/>
        </w:rPr>
        <w:t>כך כל הכרח – ולעיתים ההתנהגות החדשה מזיקה לאין שיעור מזו המקורית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כדוגמה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תלמיד אשר מצייר במחברתו במקום להקשיב בשיעור ונענש על כך יימנע מלצייר במחברתו לאחר קבלת העונש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במקום לצייר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הוא עלול לבחור לפטפט עם תלמידים אחרים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לבהות מהחלון ואף להתעלם בכוונה תחילה מתוכן השיעור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מסיבה זו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קשה לייחס לענישה ערך ניבוי אמיתי באשר להתרחשותה של התנהגות רצויה</w:t>
      </w:r>
      <w:r>
        <w:rPr>
          <w:b w:val="false"/>
          <w:bCs w:val="false"/>
          <w:rtl w:val="true"/>
        </w:rPr>
        <w:t xml:space="preserve">: </w:t>
      </w:r>
      <w:r>
        <w:rPr>
          <w:b w:val="false"/>
          <w:b w:val="false"/>
          <w:bCs w:val="false"/>
          <w:rtl w:val="true"/>
        </w:rPr>
        <w:t>אמנם בכוחה להשיג את מטרתה המיידית להפסיק התנהגות כלשהי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אך ידה קצרה מלהוביל באופן ישיר לתוצאה חיובית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יתרה מכך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לא רק שאותה התנהגות חדשה בלתי צפויה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היא גם מותנית</w:t>
      </w:r>
      <w:r>
        <w:rPr>
          <w:b w:val="false"/>
          <w:bCs w:val="false"/>
          <w:rtl w:val="true"/>
        </w:rPr>
        <w:t xml:space="preserve">: </w:t>
      </w:r>
      <w:r>
        <w:rPr>
          <w:b w:val="false"/>
          <w:b w:val="false"/>
          <w:bCs w:val="false"/>
          <w:rtl w:val="true"/>
        </w:rPr>
        <w:t>הנענש ינקוט בה רק בהינתן שסכנת העונש מרחפת מעל ראשו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כשסכנה זו תוסר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אין דבר המונע מהתנהגות המקורית לחזור בשנית ביתר שאת</w:t>
      </w:r>
      <w:r>
        <w:rPr>
          <w:b w:val="false"/>
          <w:bCs w:val="false"/>
          <w:rtl w:val="true"/>
        </w:rPr>
        <w:t xml:space="preserve">. </w:t>
      </w:r>
    </w:p>
    <w:p>
      <w:pPr>
        <w:pStyle w:val="Style8"/>
        <w:ind w:left="0" w:right="0" w:hanging="0"/>
        <w:rPr>
          <w:b w:val="false"/>
          <w:bCs w:val="false"/>
        </w:rPr>
      </w:pPr>
      <w:r>
        <w:rPr>
          <w:b w:val="false"/>
          <w:bCs w:val="false"/>
          <w:rtl w:val="true"/>
        </w:rPr>
        <w:tab/>
      </w:r>
      <w:r>
        <w:rPr>
          <w:b w:val="false"/>
          <w:b w:val="false"/>
          <w:bCs w:val="false"/>
          <w:rtl w:val="true"/>
        </w:rPr>
        <w:t>בגנותה של הענישה תעיד לא רק אוזלת ידה ככלי חינוכי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אלא גם השלכותיה ארוכות הטווח המרובות וההרסניות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במקרים בהם המוענש אינו עומד על הסיבתיות בין התנהגותו לעונש שספג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הוא עלול לייחס סיבתיות זו לדמות המענישה במקומה של ההתנהגות</w:t>
      </w:r>
      <w:r>
        <w:rPr>
          <w:b w:val="false"/>
          <w:bCs w:val="false"/>
          <w:rtl w:val="true"/>
        </w:rPr>
        <w:t xml:space="preserve">: </w:t>
      </w:r>
      <w:r>
        <w:rPr>
          <w:b w:val="false"/>
          <w:b w:val="false"/>
          <w:bCs w:val="false"/>
          <w:rtl w:val="true"/>
        </w:rPr>
        <w:t>אילו אותו תלמיד המצייר במחברתו אינו רואה כל פסול בציור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ואינו מבין שנענש בגינו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הוא עלול לייחס את העונש שספג לרשעותו של המורה – אמונה שתדבק בו זמן רב לאחר מתן העונש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כמו כן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במקרים בהם אין באפשרותו של המוענש לנקוט בהתנהגות חלופית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הוא עלול להסיק שהענישה מתרחשת ללא קשר להתנהגותו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ושאין דבר שביכולתו לעשות כדי להפסיקה – מצב המכונה בעולם הפסיכולוגיה ההתנהגותית כלמידת חוסר אונים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למידת חוסר אונים ניצבת בליבן של הפרעות כמו דיכאון וחרדה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ומשתקת את הלוקים בה מלפעול זמן רב לאחר רכישתה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תלמיד  המאמין כי יוענש בלא קשר למעשיו עלול להימנע מלפעול באופן הגיוני גם במצבים ברורים מאליהם כתוצאה של למידת חוסר האונים</w:t>
      </w:r>
      <w:r>
        <w:rPr>
          <w:b w:val="false"/>
          <w:bCs w:val="false"/>
          <w:rtl w:val="true"/>
        </w:rPr>
        <w:t xml:space="preserve">: </w:t>
      </w:r>
      <w:r>
        <w:rPr>
          <w:b w:val="false"/>
          <w:b w:val="false"/>
          <w:bCs w:val="false"/>
          <w:rtl w:val="true"/>
        </w:rPr>
        <w:t>אותו תלמיד עלול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למשל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להתחיל לאחר לבית הספר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חרף הידיעה שהתנהגות זו תמיט עליו עונש – מתוך אמונה שהעונש יומט עליו גם מבלי שינקוט בהתנהגות זו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ההתנייה המתבצעת בלמידת חוסר האונים חזקה ביותר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והכחדתה כרוכה בזמן ובמאמץ יוצאי דופן</w:t>
      </w:r>
      <w:r>
        <w:rPr>
          <w:b w:val="false"/>
          <w:bCs w:val="false"/>
          <w:rtl w:val="true"/>
        </w:rPr>
        <w:t>.</w:t>
      </w:r>
    </w:p>
    <w:p>
      <w:pPr>
        <w:pStyle w:val="Style8"/>
        <w:ind w:left="0" w:right="0" w:hanging="0"/>
        <w:rPr>
          <w:b w:val="false"/>
          <w:bCs w:val="false"/>
        </w:rPr>
      </w:pPr>
      <w:r>
        <w:rPr>
          <w:b w:val="false"/>
          <w:bCs w:val="false"/>
          <w:rtl w:val="true"/>
        </w:rPr>
        <w:tab/>
      </w:r>
      <w:r>
        <w:rPr>
          <w:b w:val="false"/>
          <w:b w:val="false"/>
          <w:bCs w:val="false"/>
          <w:rtl w:val="true"/>
        </w:rPr>
        <w:t>ממצאים אלו מתשקפים היטב גם כשבוחנים את הענישה הגופנית</w:t>
      </w:r>
      <w:r>
        <w:rPr>
          <w:b w:val="false"/>
          <w:bCs w:val="false"/>
          <w:rtl w:val="true"/>
        </w:rPr>
        <w:t xml:space="preserve">: </w:t>
      </w:r>
      <w:r>
        <w:rPr>
          <w:b w:val="false"/>
          <w:b w:val="false"/>
          <w:bCs w:val="false"/>
          <w:rtl w:val="true"/>
        </w:rPr>
        <w:t>מחקרים רבים לא מצאו מתאם חיובי בין ביצועיהם האקדמיים והתנהגותם של תלמידים לענישה הגופנית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אלא שלעומת עמיתיהם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תלמידים אלו נמצאו כפגיעים יותר להפרעות נפשיות והתנהגותיות</w:t>
      </w:r>
      <w:r>
        <w:rPr>
          <w:b w:val="false"/>
          <w:bCs w:val="false"/>
          <w:rtl w:val="true"/>
        </w:rPr>
        <w:t xml:space="preserve">; </w:t>
      </w:r>
      <w:r>
        <w:rPr>
          <w:b w:val="false"/>
          <w:b w:val="false"/>
          <w:bCs w:val="false"/>
          <w:rtl w:val="true"/>
        </w:rPr>
        <w:t>ביצועיהם האקדמיים נפגעו</w:t>
      </w:r>
      <w:r>
        <w:rPr>
          <w:b w:val="false"/>
          <w:bCs w:val="false"/>
          <w:rtl w:val="true"/>
        </w:rPr>
        <w:t xml:space="preserve">; </w:t>
      </w:r>
      <w:r>
        <w:rPr>
          <w:b w:val="false"/>
          <w:b w:val="false"/>
          <w:bCs w:val="false"/>
          <w:rtl w:val="true"/>
        </w:rPr>
        <w:t>ערכם העצמי נמצא כנמוך יותר</w:t>
      </w:r>
      <w:r>
        <w:rPr>
          <w:b w:val="false"/>
          <w:bCs w:val="false"/>
          <w:rtl w:val="true"/>
        </w:rPr>
        <w:t xml:space="preserve">; </w:t>
      </w:r>
      <w:r>
        <w:rPr>
          <w:b w:val="false"/>
          <w:b w:val="false"/>
          <w:bCs w:val="false"/>
          <w:rtl w:val="true"/>
        </w:rPr>
        <w:t>הם אף נוטים לפתח רתיעה חזקה מהמסגרת החינוכית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המושכת אותם למסגרות בעייתיות יותר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עוד נמצא</w:t>
      </w:r>
      <w:r>
        <w:rPr>
          <w:b w:val="false"/>
          <w:bCs w:val="false"/>
          <w:rtl w:val="true"/>
        </w:rPr>
        <w:t>,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כי הענישה הגופנית  נוטה להחריף לאורך זמן</w:t>
      </w:r>
      <w:r>
        <w:rPr>
          <w:b w:val="false"/>
          <w:bCs w:val="false"/>
          <w:rtl w:val="true"/>
        </w:rPr>
        <w:t xml:space="preserve">: </w:t>
      </w:r>
      <w:r>
        <w:rPr>
          <w:b w:val="false"/>
          <w:b w:val="false"/>
          <w:bCs w:val="false"/>
          <w:rtl w:val="true"/>
        </w:rPr>
        <w:t>מורה אשר מכה תלמיד לעיתים תכופות עלול לאורך זמן להכות בעוצמה גבוהה יותר בגנותן של עב</w:t>
      </w:r>
      <w:r>
        <w:rPr>
          <w:b w:val="false"/>
          <w:b w:val="false"/>
          <w:bCs w:val="false"/>
          <w:rtl w:val="true"/>
        </w:rPr>
        <w:t>י</w:t>
      </w:r>
      <w:r>
        <w:rPr>
          <w:b w:val="false"/>
          <w:b w:val="false"/>
          <w:bCs w:val="false"/>
          <w:rtl w:val="true"/>
        </w:rPr>
        <w:t>רות קלות יותר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לתסכולם הגובר הן של המחנך והן של התלמיד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במקרה הטוב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הענישה הגופנית אינה מועילה לחינוכם של התלמידים</w:t>
      </w:r>
      <w:r>
        <w:rPr>
          <w:b w:val="false"/>
          <w:bCs w:val="false"/>
          <w:rtl w:val="true"/>
        </w:rPr>
        <w:t xml:space="preserve">; </w:t>
      </w:r>
      <w:r>
        <w:rPr>
          <w:b w:val="false"/>
          <w:b w:val="false"/>
          <w:bCs w:val="false"/>
          <w:rtl w:val="true"/>
        </w:rPr>
        <w:t>בתרחישים גרועים יותר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היא גובה מהם מחיר כבד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בעוד שניתן וראוי לדון בהשלכות המוסריות של הפעלת כוח כנגד תלמידים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הסיבה הברורה מאליה לאסור להכות תלמידים פשוטה מאין כמותה</w:t>
      </w:r>
      <w:r>
        <w:rPr>
          <w:b w:val="false"/>
          <w:bCs w:val="false"/>
          <w:rtl w:val="true"/>
        </w:rPr>
        <w:t xml:space="preserve">: </w:t>
      </w:r>
      <w:r>
        <w:rPr>
          <w:b w:val="false"/>
          <w:b w:val="false"/>
          <w:bCs w:val="false"/>
          <w:rtl w:val="true"/>
        </w:rPr>
        <w:t>היא אינה יעילה במאומה</w:t>
      </w:r>
      <w:r>
        <w:rPr>
          <w:b w:val="false"/>
          <w:bCs w:val="false"/>
          <w:rtl w:val="true"/>
        </w:rPr>
        <w:t>.</w:t>
      </w:r>
    </w:p>
    <w:p>
      <w:pPr>
        <w:pStyle w:val="Style8"/>
        <w:ind w:left="0" w:right="0" w:hanging="0"/>
        <w:rPr>
          <w:b w:val="false"/>
          <w:bCs w:val="false"/>
        </w:rPr>
      </w:pPr>
      <w:r>
        <w:rPr>
          <w:b w:val="false"/>
          <w:bCs w:val="false"/>
          <w:rtl w:val="true"/>
        </w:rPr>
        <w:tab/>
      </w:r>
      <w:r>
        <w:rPr>
          <w:b w:val="false"/>
          <w:b w:val="false"/>
          <w:bCs w:val="false"/>
          <w:rtl w:val="true"/>
        </w:rPr>
        <w:t>מש</w:t>
      </w:r>
      <w:r>
        <w:rPr>
          <w:b w:val="false"/>
          <w:b w:val="false"/>
          <w:bCs w:val="false"/>
          <w:rtl w:val="true"/>
        </w:rPr>
        <w:t>עמדנו על אוזלת ידה של הענישה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נבחן את האמצעי ההופכי לה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החיזוק החיובי מוגדר כחשיפת האורגניזם לגירוי כתגובה לנקיטה בהתנהגות רצויה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בדומה לעונש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 xml:space="preserve">החיזוק מתמקד גם הוא בהתנהגות אחת בלבד </w:t>
      </w:r>
      <w:r>
        <w:rPr>
          <w:b w:val="false"/>
          <w:bCs w:val="false"/>
          <w:rtl w:val="true"/>
        </w:rPr>
        <w:t xml:space="preserve">- </w:t>
      </w:r>
      <w:r>
        <w:rPr>
          <w:b w:val="false"/>
          <w:b w:val="false"/>
          <w:bCs w:val="false"/>
          <w:rtl w:val="true"/>
        </w:rPr>
        <w:t>זו שאת תדירותה הוא שואף להגביר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מרגע שאורגניזם מקשר בין התנהגות שנקט לתוצאותיה החיוביות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ינקוט בה בתדירות גבוהה יותר – והסתברותה להתרחש שוב תעלה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אלא שבניגוד לענישה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 xml:space="preserve">בכוחו של החיזוק לנבא כיצד ינהג האורגניזם בטווח הארוך </w:t>
      </w:r>
      <w:r>
        <w:rPr>
          <w:b w:val="false"/>
          <w:bCs w:val="false"/>
          <w:rtl w:val="true"/>
        </w:rPr>
        <w:t xml:space="preserve">- </w:t>
      </w:r>
      <w:r>
        <w:rPr>
          <w:b w:val="false"/>
          <w:b w:val="false"/>
          <w:bCs w:val="false"/>
          <w:rtl w:val="true"/>
        </w:rPr>
        <w:t>ובכך לעצב את התנהגותו ואף להטמיע בו התנהגויות חדשות לגמרי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אילו נבחר לתגמל את התלמיד שמצייר במחברתו תגמול משמעותי מספיק ברגע שבוחר להקשיב לשיעור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ואף ברגע שמפסיק לצייר לזמן קצר – סביר שיזנח מעצמו את הציור לטובת ההקשבה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התלמידים שחינוכם נשען על חיזוקים חיוביים נהנים ממגוון רחב של יתרונות</w:t>
      </w:r>
      <w:r>
        <w:rPr>
          <w:b w:val="false"/>
          <w:bCs w:val="false"/>
          <w:rtl w:val="true"/>
        </w:rPr>
        <w:t xml:space="preserve">: </w:t>
      </w:r>
      <w:r>
        <w:rPr>
          <w:b w:val="false"/>
          <w:b w:val="false"/>
          <w:bCs w:val="false"/>
          <w:rtl w:val="true"/>
        </w:rPr>
        <w:t>התנהגותם וביצועיהם האקדמיים גבוהים יותר</w:t>
      </w:r>
      <w:r>
        <w:rPr>
          <w:b w:val="false"/>
          <w:bCs w:val="false"/>
          <w:rtl w:val="true"/>
        </w:rPr>
        <w:t xml:space="preserve">; </w:t>
      </w:r>
      <w:r>
        <w:rPr>
          <w:b w:val="false"/>
          <w:b w:val="false"/>
          <w:bCs w:val="false"/>
          <w:rtl w:val="true"/>
        </w:rPr>
        <w:t>ערכם העצמי גבוה יותר</w:t>
      </w:r>
      <w:r>
        <w:rPr>
          <w:b w:val="false"/>
          <w:bCs w:val="false"/>
          <w:rtl w:val="true"/>
        </w:rPr>
        <w:t xml:space="preserve">; </w:t>
      </w:r>
      <w:r>
        <w:rPr>
          <w:b w:val="false"/>
          <w:b w:val="false"/>
          <w:bCs w:val="false"/>
          <w:rtl w:val="true"/>
        </w:rPr>
        <w:t>הם נוטים לפתח אמון בדמות המחנכת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מתוכו הם מצייתים לה מרצונם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 xml:space="preserve">המניע שלהם לפעול הופך לפנימי </w:t>
      </w:r>
      <w:r>
        <w:rPr>
          <w:b w:val="false"/>
          <w:bCs w:val="false"/>
          <w:rtl w:val="true"/>
        </w:rPr>
        <w:t xml:space="preserve">- </w:t>
      </w:r>
      <w:r>
        <w:rPr>
          <w:b w:val="false"/>
          <w:b w:val="false"/>
          <w:bCs w:val="false"/>
          <w:rtl w:val="true"/>
        </w:rPr>
        <w:t>עובדה בעלת חשיבות פסיכולוגית עצומה</w:t>
      </w:r>
      <w:r>
        <w:rPr>
          <w:b w:val="false"/>
          <w:bCs w:val="false"/>
          <w:rtl w:val="true"/>
        </w:rPr>
        <w:t>.</w:t>
      </w:r>
    </w:p>
    <w:p>
      <w:pPr>
        <w:pStyle w:val="Style8"/>
        <w:ind w:left="0" w:right="0" w:hanging="0"/>
        <w:rPr>
          <w:b w:val="false"/>
          <w:bCs w:val="false"/>
        </w:rPr>
      </w:pPr>
      <w:r>
        <w:rPr>
          <w:b w:val="false"/>
          <w:bCs w:val="false"/>
          <w:rtl w:val="true"/>
        </w:rPr>
        <w:tab/>
      </w:r>
      <w:r>
        <w:rPr>
          <w:b w:val="false"/>
          <w:b w:val="false"/>
          <w:bCs w:val="false"/>
          <w:rtl w:val="true"/>
        </w:rPr>
        <w:t>אותו רצון הוא המפתח לחינוך התלמידים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ממצאים נוספים מחקר הלמידה מראים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כי מקור ההנעה של האדם חשוב מאין כמותו בעיצוב התנהגות</w:t>
      </w:r>
      <w:r>
        <w:rPr>
          <w:b w:val="false"/>
          <w:bCs w:val="false"/>
          <w:rtl w:val="true"/>
        </w:rPr>
        <w:t xml:space="preserve">: </w:t>
      </w:r>
      <w:r>
        <w:rPr>
          <w:b w:val="false"/>
          <w:b w:val="false"/>
          <w:bCs w:val="false"/>
          <w:rtl w:val="true"/>
        </w:rPr>
        <w:t>כשהתמריץ שלו לפעול חיצוני בלבד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בין שמדובר ברצון לתגמול או בפחד מעונש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ההתנהגות פוסקת כשהתמריץ נעלם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אולם כשמניעו לפעול הוא פנימי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 xml:space="preserve">ההתנהגויות החדשות ממשיכות להתקיים זמן רב לאחר הלמידה </w:t>
      </w:r>
      <w:r>
        <w:rPr>
          <w:b w:val="false"/>
          <w:bCs w:val="false"/>
          <w:rtl w:val="true"/>
        </w:rPr>
        <w:t xml:space="preserve">- </w:t>
      </w:r>
      <w:r>
        <w:rPr>
          <w:b w:val="false"/>
          <w:b w:val="false"/>
          <w:bCs w:val="false"/>
          <w:rtl w:val="true"/>
        </w:rPr>
        <w:t>והופכות</w:t>
      </w:r>
      <w:r>
        <w:rPr>
          <w:b w:val="false"/>
          <w:b w:val="false"/>
          <w:bCs w:val="false"/>
          <w:rtl w:val="true"/>
        </w:rPr>
        <w:t xml:space="preserve"> להרגל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תלמיד אשר שוקד על לימודיו משום שזוכה לפרס כלשהו כשהוא מגיע להישגים גבוהים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או משום שנענש כשאינו מגיע לאלה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סביר שיפסיק לשקוד על לימודיו ברגע שאילוצים אלו יוסרו ממנו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לעומתו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תלמיד אשר ישקוד על לימודיו מתוך רצון פנימי להישגים גבוהים – בין שנובע מתשוקה לחומר הנלמד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אפשרות כלשהי הנפתחת בפניו בעתיד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או פחד מההשלכות של הישגים נמוכים בהגשמת יעדיו – סביר שימשיך בהתנהגות זו זמן רב אחרי שאילוצים אלו יוסרו ממנו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בצורה כזו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נבנים הרגלים – ומתבצע חינוך</w:t>
      </w:r>
      <w:r>
        <w:rPr>
          <w:b w:val="false"/>
          <w:bCs w:val="false"/>
          <w:rtl w:val="true"/>
        </w:rPr>
        <w:t>.</w:t>
      </w:r>
    </w:p>
    <w:p>
      <w:pPr>
        <w:pStyle w:val="Style8"/>
        <w:ind w:left="0" w:right="0" w:hanging="0"/>
        <w:rPr>
          <w:b w:val="false"/>
          <w:bCs w:val="false"/>
        </w:rPr>
      </w:pPr>
      <w:r>
        <w:rPr>
          <w:b w:val="false"/>
          <w:bCs w:val="false"/>
          <w:rtl w:val="true"/>
        </w:rPr>
        <w:tab/>
      </w:r>
      <w:r>
        <w:rPr>
          <w:b w:val="false"/>
          <w:b w:val="false"/>
          <w:bCs w:val="false"/>
          <w:rtl w:val="true"/>
        </w:rPr>
        <w:t>נדמה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איפוא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כי מטרת העל של החינוך היא עידוד מניעים פנימיים אצל התלמידים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שכן זהו האמצעי היעיל ביותר להקניית הרגל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עידוד שכזה דורש בהכרח שכנוע – על התלמיד להאמין בעצמו במניע שלו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ולא לספוג אותו באופן סביל מהדמות המחנכת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האמון משחק תפקיד מכריע בשכנוע</w:t>
      </w:r>
      <w:r>
        <w:rPr>
          <w:b w:val="false"/>
          <w:bCs w:val="false"/>
          <w:rtl w:val="true"/>
        </w:rPr>
        <w:t xml:space="preserve">; </w:t>
      </w:r>
      <w:r>
        <w:rPr>
          <w:b w:val="false"/>
          <w:b w:val="false"/>
          <w:bCs w:val="false"/>
          <w:rtl w:val="true"/>
        </w:rPr>
        <w:t>באופן טבעי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אנו נוטים להקשיב לאלו שאנו נותנים בהם אמון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לאור נטייתו של החיזוק החיובי לעודד אמון זה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לעומת נטייתה של הענישה הגופנית לעורר אנטגוניזם כנגד המחנך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ניתן להסיק כי החיזוק החיובי הוא כלי המפתח בחינוך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גם אם מניעו הפנימי של התלמיד נובע מפחד מעונש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שכנועו במניע זה כרוכה באמון שקשה לבסס באמצעות ענישה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במטרה זו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הענישה אינה משחקת תפקיד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ונושאת פוטנציאל נזק עצום – ולפיכך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אל לנו להתיר למורים להכות את תלמידיהם – בוודאי שלא בשמו של החינוך</w:t>
      </w:r>
      <w:r>
        <w:rPr>
          <w:b w:val="false"/>
          <w:bCs w:val="false"/>
          <w:rtl w:val="true"/>
        </w:rPr>
        <w:t xml:space="preserve">. </w:t>
      </w:r>
    </w:p>
    <w:p>
      <w:pPr>
        <w:pStyle w:val="Style8"/>
        <w:ind w:left="0" w:right="0" w:hanging="0"/>
        <w:rPr>
          <w:b w:val="false"/>
          <w:bCs w:val="false"/>
        </w:rPr>
      </w:pPr>
      <w:r>
        <w:rPr>
          <w:b w:val="false"/>
          <w:bCs w:val="false"/>
          <w:rtl w:val="true"/>
        </w:rPr>
        <w:tab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51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" w:cs="David CLM"/>
        <w:kern w:val="2"/>
        <w:sz w:val="24"/>
        <w:szCs w:val="24"/>
        <w:lang w:val="en-US" w:eastAsia="zh-CN" w:bidi="he-IL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oto Sans" w:cs="David CLM"/>
      <w:color w:val="auto"/>
      <w:kern w:val="2"/>
      <w:sz w:val="24"/>
      <w:szCs w:val="24"/>
      <w:lang w:val="en-US" w:eastAsia="zh-CN" w:bidi="he-IL"/>
    </w:rPr>
  </w:style>
  <w:style w:type="paragraph" w:styleId="Heading1">
    <w:name w:val="Heading 1"/>
    <w:basedOn w:val="Heading"/>
    <w:next w:val="TextBody"/>
    <w:qFormat/>
    <w:pPr>
      <w:spacing w:before="240" w:after="120"/>
      <w:outlineLvl w:val="0"/>
    </w:pPr>
    <w:rPr>
      <w:rFonts w:ascii="Liberation Serif" w:hAnsi="Liberation Serif" w:eastAsia="Cantarell" w:cs="Liberation Serif"/>
      <w:b/>
      <w:bCs/>
      <w:sz w:val="48"/>
      <w:szCs w:val="48"/>
    </w:rPr>
  </w:style>
  <w:style w:type="character" w:styleId="DefaultParagraphFont">
    <w:name w:val="Default Paragraph Font"/>
    <w:qFormat/>
    <w:rPr/>
  </w:style>
  <w:style w:type="character" w:styleId="WW8Num5z0">
    <w:name w:val="WW8Num5z0"/>
    <w:qFormat/>
    <w:rPr>
      <w:rFonts w:ascii="Calibri" w:hAnsi="Calibri" w:eastAsia="Calibri" w:cs="Arial"/>
    </w:rPr>
  </w:style>
  <w:style w:type="character" w:styleId="WW8Num5z1">
    <w:name w:val="WW8Num5z1"/>
    <w:qFormat/>
    <w:rPr>
      <w:b/>
      <w:bCs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achlieli CLM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  <w:style w:type="paragraph" w:styleId="Academic">
    <w:name w:val="Academic"/>
    <w:basedOn w:val="Normal"/>
    <w:qFormat/>
    <w:pPr>
      <w:bidi w:val="1"/>
      <w:spacing w:lineRule="auto" w:line="360" w:before="0" w:after="115"/>
      <w:ind w:left="0" w:right="0" w:firstLine="346"/>
      <w:contextualSpacing/>
      <w:jc w:val="both"/>
    </w:pPr>
    <w:rPr>
      <w:rFonts w:ascii="Times New Roman" w:hAnsi="Times New Roman" w:cs="David Libre"/>
      <w:b/>
      <w:bCs/>
    </w:rPr>
  </w:style>
  <w:style w:type="paragraph" w:styleId="Style8">
    <w:name w:val="אקדמי"/>
    <w:basedOn w:val="Normal"/>
    <w:autoRedefine/>
    <w:qFormat/>
    <w:pPr>
      <w:bidi w:val="1"/>
      <w:spacing w:lineRule="auto" w:line="360" w:before="0" w:after="0"/>
      <w:ind w:left="0" w:right="0" w:firstLine="58"/>
      <w:contextualSpacing/>
      <w:jc w:val="both"/>
    </w:pPr>
    <w:rPr>
      <w:rFonts w:ascii="Times New Roman" w:hAnsi="Times New Roman" w:cs="David Libre"/>
      <w:sz w:val="24"/>
      <w:szCs w:val="24"/>
      <w:u w:val="none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1994</TotalTime>
  <Application>LibreOffice/7.5.0.3$Linux_X86_64 LibreOffice_project/50$Build-3</Application>
  <AppVersion>15.0000</AppVersion>
  <Pages>2</Pages>
  <Words>1040</Words>
  <Characters>5208</Characters>
  <CharactersWithSpaces>6269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2023-02-04T20:45:31Z</dcterms:created>
  <dc:creator/>
  <dc:description/>
  <dc:language>en-US</dc:language>
  <cp:lastModifiedBy/>
  <dcterms:modified xsi:type="dcterms:W3CDTF">2023-02-16T17:36:28Z</dcterms:modified>
  <cp:revision>246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