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1E7B5" w14:textId="77777777" w:rsidR="00E2214B" w:rsidRDefault="00000000">
      <w:pPr>
        <w:pStyle w:val="Academic"/>
        <w:ind w:firstLine="0"/>
      </w:pPr>
      <w:commentRangeStart w:id="0"/>
      <w:commentRangeStart w:id="1"/>
      <w:r>
        <w:rPr>
          <w:b w:val="0"/>
          <w:bCs w:val="0"/>
          <w:rtl/>
        </w:rPr>
        <w:t>הבידור</w:t>
      </w:r>
      <w:commentRangeEnd w:id="1"/>
      <w:r w:rsidR="00F65400">
        <w:rPr>
          <w:rStyle w:val="CommentReference"/>
          <w:rFonts w:ascii="Liberation Serif" w:hAnsi="Liberation Serif" w:cs="David CLM"/>
          <w:b w:val="0"/>
          <w:bCs w:val="0"/>
          <w:rtl/>
        </w:rPr>
        <w:commentReference w:id="1"/>
      </w:r>
      <w:r>
        <w:rPr>
          <w:b w:val="0"/>
          <w:bCs w:val="0"/>
          <w:rtl/>
        </w:rPr>
        <w:t xml:space="preserve"> </w:t>
      </w:r>
      <w:commentRangeEnd w:id="0"/>
      <w:r w:rsidR="00F65400">
        <w:rPr>
          <w:rStyle w:val="CommentReference"/>
          <w:rFonts w:ascii="Liberation Serif" w:hAnsi="Liberation Serif" w:cs="David CLM"/>
          <w:b w:val="0"/>
          <w:bCs w:val="0"/>
          <w:rtl/>
        </w:rPr>
        <w:commentReference w:id="0"/>
      </w:r>
      <w:r>
        <w:rPr>
          <w:b w:val="0"/>
          <w:bCs w:val="0"/>
          <w:rtl/>
        </w:rPr>
        <w:t xml:space="preserve">על כל סוגיו בלתי נבחן מהתרבות. </w:t>
      </w:r>
      <w:commentRangeStart w:id="2"/>
      <w:r>
        <w:rPr>
          <w:b w:val="0"/>
          <w:bCs w:val="0"/>
          <w:rtl/>
        </w:rPr>
        <w:t>הדעה הרווחת מבחינה בין סוגי בידור מסוימים, אותם היא מגדירה כתרבות</w:t>
      </w:r>
      <w:commentRangeEnd w:id="2"/>
      <w:r w:rsidR="00F65400">
        <w:rPr>
          <w:rStyle w:val="CommentReference"/>
          <w:rFonts w:ascii="Liberation Serif" w:hAnsi="Liberation Serif" w:cs="David CLM"/>
          <w:b w:val="0"/>
          <w:bCs w:val="0"/>
          <w:rtl/>
        </w:rPr>
        <w:commentReference w:id="2"/>
      </w:r>
      <w:r>
        <w:rPr>
          <w:b w:val="0"/>
          <w:bCs w:val="0"/>
          <w:rtl/>
        </w:rPr>
        <w:t xml:space="preserve">, לאחרים, אותם היא מסתפקת להגדיר כבידור גרידא. הבחנה כוזבת זו נובעת מכפל משמעותה של המילה תרבות: המשמעות המקראית, המציינת קבוצת בני אדם החולקים </w:t>
      </w:r>
      <w:commentRangeStart w:id="3"/>
      <w:r>
        <w:rPr>
          <w:b w:val="0"/>
          <w:bCs w:val="0"/>
          <w:rtl/>
        </w:rPr>
        <w:t>מאפיינים משותפים</w:t>
      </w:r>
      <w:commentRangeEnd w:id="3"/>
      <w:r w:rsidR="00F65400">
        <w:rPr>
          <w:rStyle w:val="CommentReference"/>
          <w:rFonts w:ascii="Liberation Serif" w:hAnsi="Liberation Serif" w:cs="David CLM"/>
          <w:b w:val="0"/>
          <w:bCs w:val="0"/>
          <w:rtl/>
        </w:rPr>
        <w:commentReference w:id="3"/>
      </w:r>
      <w:r>
        <w:rPr>
          <w:b w:val="0"/>
          <w:bCs w:val="0"/>
          <w:rtl/>
        </w:rPr>
        <w:t xml:space="preserve">; והמשמעות </w:t>
      </w:r>
      <w:commentRangeStart w:id="4"/>
      <w:r>
        <w:rPr>
          <w:b w:val="0"/>
          <w:bCs w:val="0"/>
          <w:rtl/>
        </w:rPr>
        <w:t>הטלאולוגית</w:t>
      </w:r>
      <w:commentRangeEnd w:id="4"/>
      <w:r w:rsidR="00F65400">
        <w:rPr>
          <w:rStyle w:val="CommentReference"/>
          <w:rFonts w:ascii="Liberation Serif" w:hAnsi="Liberation Serif" w:cs="David CLM"/>
          <w:b w:val="0"/>
          <w:bCs w:val="0"/>
          <w:rtl/>
        </w:rPr>
        <w:commentReference w:id="4"/>
      </w:r>
      <w:r>
        <w:rPr>
          <w:b w:val="0"/>
          <w:bCs w:val="0"/>
          <w:rtl/>
        </w:rPr>
        <w:t xml:space="preserve">, שמגדירה את התרבות כתהליך ביות נפשו של האדם. תהליכים היסטוריים רבים מעידים על כך  שהמשמעות הראשונה מספקת לביסוסה של תרבות. דוגמא מרהיבה במיוחד לכך ניתן לראות </w:t>
      </w:r>
      <w:commentRangeStart w:id="5"/>
      <w:r>
        <w:rPr>
          <w:b w:val="0"/>
          <w:bCs w:val="0"/>
          <w:rtl/>
        </w:rPr>
        <w:t xml:space="preserve">בהתבוססותה </w:t>
      </w:r>
      <w:commentRangeEnd w:id="5"/>
      <w:r w:rsidR="00F65400">
        <w:rPr>
          <w:rStyle w:val="CommentReference"/>
          <w:rFonts w:ascii="Liberation Serif" w:hAnsi="Liberation Serif" w:cs="David CLM"/>
          <w:b w:val="0"/>
          <w:bCs w:val="0"/>
          <w:rtl/>
        </w:rPr>
        <w:commentReference w:id="5"/>
      </w:r>
      <w:r>
        <w:rPr>
          <w:b w:val="0"/>
          <w:bCs w:val="0"/>
          <w:rtl/>
        </w:rPr>
        <w:t xml:space="preserve">של האימפריה הרומית, אשר ניצבה משיא כוחה ובמהלך אלף השנים שלאחר התמוטטותה כגוף האנושי הגדול והסבוך ביותר משחר ההיסטוריה. רומא, הגדולה בערי העולם העתיק, חלשה על למעלה מחמישית מאוכלוסיית העולם – עמים שאינם חולקים דבר לא ביניהם ולא עם כובשיהם הרומאים. כשאלו החלו </w:t>
      </w:r>
      <w:proofErr w:type="spellStart"/>
      <w:r>
        <w:rPr>
          <w:b w:val="0"/>
          <w:bCs w:val="0"/>
          <w:rtl/>
        </w:rPr>
        <w:t>להתקוממם</w:t>
      </w:r>
      <w:proofErr w:type="spellEnd"/>
      <w:r>
        <w:rPr>
          <w:b w:val="0"/>
          <w:bCs w:val="0"/>
          <w:rtl/>
        </w:rPr>
        <w:t xml:space="preserve">, הגיבה רומא  במדיניות  </w:t>
      </w:r>
      <w:r>
        <w:rPr>
          <w:b w:val="0"/>
          <w:bCs w:val="0"/>
          <w:i/>
          <w:iCs/>
          <w:rtl/>
        </w:rPr>
        <w:t>לחם ושעשועים</w:t>
      </w:r>
      <w:r>
        <w:rPr>
          <w:b w:val="0"/>
          <w:bCs w:val="0"/>
          <w:rtl/>
        </w:rPr>
        <w:t xml:space="preserve"> – שתכליתה סיפוק מזון </w:t>
      </w:r>
      <w:commentRangeStart w:id="6"/>
      <w:r>
        <w:rPr>
          <w:b w:val="0"/>
          <w:bCs w:val="0"/>
          <w:rtl/>
        </w:rPr>
        <w:t xml:space="preserve">ובידור </w:t>
      </w:r>
      <w:commentRangeEnd w:id="6"/>
      <w:r w:rsidR="00F65400">
        <w:rPr>
          <w:rStyle w:val="CommentReference"/>
          <w:rFonts w:ascii="Liberation Serif" w:hAnsi="Liberation Serif" w:cs="David CLM"/>
          <w:b w:val="0"/>
          <w:bCs w:val="0"/>
          <w:rtl/>
        </w:rPr>
        <w:commentReference w:id="6"/>
      </w:r>
      <w:r>
        <w:rPr>
          <w:b w:val="0"/>
          <w:bCs w:val="0"/>
          <w:rtl/>
        </w:rPr>
        <w:t xml:space="preserve">לכל אדם בגבולותיה. הבידור הרומי הגס והיצרי משך צופים מרחבי האימפריה – ומשנפוצו </w:t>
      </w:r>
      <w:proofErr w:type="spellStart"/>
      <w:r>
        <w:rPr>
          <w:b w:val="0"/>
          <w:bCs w:val="0"/>
          <w:rtl/>
        </w:rPr>
        <w:t>האמפיתיאטרות</w:t>
      </w:r>
      <w:proofErr w:type="spellEnd"/>
      <w:r>
        <w:rPr>
          <w:b w:val="0"/>
          <w:bCs w:val="0"/>
          <w:rtl/>
        </w:rPr>
        <w:t xml:space="preserve">, ההיפודרומים והקרקסים בכל </w:t>
      </w:r>
      <w:proofErr w:type="spellStart"/>
      <w:r>
        <w:rPr>
          <w:b w:val="0"/>
          <w:bCs w:val="0"/>
          <w:rtl/>
        </w:rPr>
        <w:t>קצוותיה</w:t>
      </w:r>
      <w:proofErr w:type="spellEnd"/>
      <w:r>
        <w:rPr>
          <w:b w:val="0"/>
          <w:bCs w:val="0"/>
          <w:rtl/>
        </w:rPr>
        <w:t xml:space="preserve">, חלקו נתיניה מאפיינים  משותפים חדשים. בידור זה, משסיפק למשתתפיו מאפיינים אלו, </w:t>
      </w:r>
      <w:commentRangeStart w:id="7"/>
      <w:r>
        <w:rPr>
          <w:b w:val="0"/>
          <w:bCs w:val="0"/>
          <w:rtl/>
        </w:rPr>
        <w:t xml:space="preserve">איחה אותם לכדי תרבות </w:t>
      </w:r>
      <w:commentRangeEnd w:id="7"/>
      <w:r w:rsidR="00F65400">
        <w:rPr>
          <w:rStyle w:val="CommentReference"/>
          <w:rFonts w:ascii="Liberation Serif" w:hAnsi="Liberation Serif" w:cs="David CLM"/>
          <w:b w:val="0"/>
          <w:bCs w:val="0"/>
          <w:rtl/>
        </w:rPr>
        <w:commentReference w:id="7"/>
      </w:r>
      <w:r>
        <w:rPr>
          <w:b w:val="0"/>
          <w:bCs w:val="0"/>
          <w:rtl/>
        </w:rPr>
        <w:t>– ולכן מן הראוי לקרוא לו פעילות תרבותית.</w:t>
      </w:r>
    </w:p>
    <w:p w14:paraId="2B72F84D" w14:textId="77777777" w:rsidR="00E2214B" w:rsidRDefault="00000000">
      <w:pPr>
        <w:pStyle w:val="Academic"/>
        <w:ind w:firstLine="0"/>
      </w:pPr>
      <w:r>
        <w:rPr>
          <w:b w:val="0"/>
          <w:bCs w:val="0"/>
          <w:rtl/>
        </w:rPr>
        <w:tab/>
        <w:t xml:space="preserve">בעיצומם של תהליכים אלו צמחה משמעות נוספת למושג זה. הפילוסוף, המדינאי והנואם הרומי הנודע מרקוס </w:t>
      </w:r>
      <w:proofErr w:type="spellStart"/>
      <w:r>
        <w:rPr>
          <w:b w:val="0"/>
          <w:bCs w:val="0"/>
          <w:rtl/>
        </w:rPr>
        <w:t>טוליוס</w:t>
      </w:r>
      <w:proofErr w:type="spellEnd"/>
      <w:r>
        <w:rPr>
          <w:b w:val="0"/>
          <w:bCs w:val="0"/>
          <w:rtl/>
        </w:rPr>
        <w:t xml:space="preserve"> </w:t>
      </w:r>
      <w:proofErr w:type="spellStart"/>
      <w:r>
        <w:rPr>
          <w:b w:val="0"/>
          <w:bCs w:val="0"/>
          <w:rtl/>
        </w:rPr>
        <w:t>קיקרו</w:t>
      </w:r>
      <w:proofErr w:type="spellEnd"/>
      <w:r>
        <w:rPr>
          <w:b w:val="0"/>
          <w:bCs w:val="0"/>
          <w:rtl/>
        </w:rPr>
        <w:t xml:space="preserve"> טבע את משמעות התרבות כתהליך ביות הנפש (</w:t>
      </w:r>
      <w:proofErr w:type="spellStart"/>
      <w:r>
        <w:rPr>
          <w:b w:val="0"/>
          <w:bCs w:val="0"/>
          <w:i/>
          <w:iCs/>
        </w:rPr>
        <w:t>cultura</w:t>
      </w:r>
      <w:proofErr w:type="spellEnd"/>
      <w:r>
        <w:rPr>
          <w:b w:val="0"/>
          <w:bCs w:val="0"/>
          <w:i/>
          <w:iCs/>
        </w:rPr>
        <w:t xml:space="preserve"> animi</w:t>
      </w:r>
      <w:r>
        <w:rPr>
          <w:b w:val="0"/>
          <w:bCs w:val="0"/>
          <w:rtl/>
        </w:rPr>
        <w:t xml:space="preserve">). לטענתו, האדם המתורבת הוא זה אשר מצליח לטפח בו נפש פילוסופית – אותה הציב כתכלית הגבוהה ביותר של האדם. פרשנויות מאוחרות יותר שמטו תכלית זו, לטובת אחרת – מימוש אנושיותו של האדם במלואה, תוך גבורה על היצר הרע הראשוני לו. פרשנות  זו לתרבות  מקשרת כחוט השני בין אותם סוגי </w:t>
      </w:r>
      <w:commentRangeStart w:id="8"/>
      <w:r>
        <w:rPr>
          <w:b w:val="0"/>
          <w:bCs w:val="0"/>
          <w:rtl/>
        </w:rPr>
        <w:t xml:space="preserve">הבידור </w:t>
      </w:r>
      <w:commentRangeEnd w:id="8"/>
      <w:r w:rsidR="00F65400">
        <w:rPr>
          <w:rStyle w:val="CommentReference"/>
          <w:rFonts w:ascii="Liberation Serif" w:hAnsi="Liberation Serif" w:cs="David CLM"/>
          <w:b w:val="0"/>
          <w:bCs w:val="0"/>
          <w:rtl/>
        </w:rPr>
        <w:commentReference w:id="8"/>
      </w:r>
      <w:r>
        <w:rPr>
          <w:b w:val="0"/>
          <w:bCs w:val="0"/>
          <w:rtl/>
        </w:rPr>
        <w:t xml:space="preserve">הנתפסים בדעה הרווחת </w:t>
      </w:r>
      <w:commentRangeStart w:id="9"/>
      <w:r>
        <w:rPr>
          <w:b w:val="0"/>
          <w:bCs w:val="0"/>
          <w:rtl/>
        </w:rPr>
        <w:t xml:space="preserve">כמתורבתים </w:t>
      </w:r>
      <w:commentRangeEnd w:id="9"/>
      <w:r w:rsidR="00F65400">
        <w:rPr>
          <w:rStyle w:val="CommentReference"/>
          <w:rFonts w:ascii="Liberation Serif" w:hAnsi="Liberation Serif" w:cs="David CLM"/>
          <w:b w:val="0"/>
          <w:bCs w:val="0"/>
          <w:rtl/>
        </w:rPr>
        <w:commentReference w:id="9"/>
      </w:r>
      <w:r>
        <w:rPr>
          <w:b w:val="0"/>
          <w:bCs w:val="0"/>
          <w:rtl/>
        </w:rPr>
        <w:t>– דוגמת</w:t>
      </w:r>
      <w:r>
        <w:rPr>
          <w:rFonts w:ascii="David" w:hAnsi="David" w:cs="David"/>
          <w:b w:val="0"/>
          <w:bCs w:val="0"/>
          <w:rtl/>
        </w:rPr>
        <w:t xml:space="preserve"> האומנויות, המוזיקה, התיאטרון והספרות - השואפים כולם לעמוד על היבט כזה או אחר בנפש האדם, להגות בו, ולעסוק במלוא החוויה של להיות אנוש</w:t>
      </w:r>
      <w:commentRangeStart w:id="10"/>
      <w:r>
        <w:rPr>
          <w:rFonts w:ascii="David" w:hAnsi="David" w:cs="David"/>
          <w:b w:val="0"/>
          <w:bCs w:val="0"/>
          <w:rtl/>
        </w:rPr>
        <w:t>י.</w:t>
      </w:r>
      <w:commentRangeEnd w:id="10"/>
      <w:r w:rsidR="00F65400">
        <w:rPr>
          <w:rStyle w:val="CommentReference"/>
          <w:rFonts w:ascii="Liberation Serif" w:hAnsi="Liberation Serif" w:cs="David CLM"/>
          <w:b w:val="0"/>
          <w:bCs w:val="0"/>
          <w:rtl/>
        </w:rPr>
        <w:commentReference w:id="10"/>
      </w:r>
    </w:p>
    <w:p w14:paraId="74AC6AE0" w14:textId="77777777" w:rsidR="00E2214B" w:rsidRDefault="00000000">
      <w:pPr>
        <w:pStyle w:val="Academic"/>
        <w:ind w:firstLine="0"/>
      </w:pPr>
      <w:r>
        <w:rPr>
          <w:rFonts w:ascii="David" w:hAnsi="David" w:cs="David"/>
          <w:b w:val="0"/>
          <w:bCs w:val="0"/>
          <w:rtl/>
        </w:rPr>
        <w:tab/>
        <w:t xml:space="preserve">לאור פרשנויות אלו, ניתן לומר כי המשתתפים בכל פעילות בידור שהיא, בין שמטרתה שעשוע ובין </w:t>
      </w:r>
      <w:r w:rsidRPr="00F65400">
        <w:rPr>
          <w:rFonts w:ascii="David" w:hAnsi="David" w:cs="David"/>
          <w:b w:val="0"/>
          <w:bCs w:val="0"/>
          <w:highlight w:val="green"/>
          <w:rtl/>
        </w:rPr>
        <w:t>שביות</w:t>
      </w:r>
      <w:r>
        <w:rPr>
          <w:rFonts w:ascii="David" w:hAnsi="David" w:cs="David"/>
          <w:b w:val="0"/>
          <w:bCs w:val="0"/>
          <w:rtl/>
        </w:rPr>
        <w:t xml:space="preserve"> הנפש, חולקים מעצם כך  </w:t>
      </w:r>
      <w:commentRangeStart w:id="11"/>
      <w:r>
        <w:rPr>
          <w:rFonts w:ascii="David" w:hAnsi="David" w:cs="David"/>
          <w:b w:val="0"/>
          <w:bCs w:val="0"/>
          <w:rtl/>
        </w:rPr>
        <w:t xml:space="preserve">מאפיין משותף </w:t>
      </w:r>
      <w:commentRangeEnd w:id="11"/>
      <w:r w:rsidR="00F65400">
        <w:rPr>
          <w:rStyle w:val="CommentReference"/>
          <w:rFonts w:ascii="Liberation Serif" w:hAnsi="Liberation Serif" w:cs="David CLM"/>
          <w:b w:val="0"/>
          <w:bCs w:val="0"/>
          <w:rtl/>
        </w:rPr>
        <w:commentReference w:id="11"/>
      </w:r>
      <w:r>
        <w:rPr>
          <w:rFonts w:ascii="David" w:hAnsi="David" w:cs="David"/>
          <w:b w:val="0"/>
          <w:bCs w:val="0"/>
          <w:rtl/>
        </w:rPr>
        <w:t xml:space="preserve">– ולכן ראוי להגדירם כפעילות תרבותית, כפי שנוכחנו לעיל. בהינתן ופעילות זו נענית גם לפרשנותה הטלאולוגית של התרבות – קרי, </w:t>
      </w:r>
      <w:commentRangeStart w:id="12"/>
      <w:r>
        <w:rPr>
          <w:rFonts w:ascii="David" w:hAnsi="David" w:cs="David"/>
          <w:b w:val="0"/>
          <w:bCs w:val="0"/>
          <w:rtl/>
        </w:rPr>
        <w:t xml:space="preserve">ביות נפשו של האדם </w:t>
      </w:r>
      <w:commentRangeEnd w:id="12"/>
      <w:r w:rsidR="00F65400">
        <w:rPr>
          <w:rStyle w:val="CommentReference"/>
          <w:rFonts w:ascii="Liberation Serif" w:hAnsi="Liberation Serif" w:cs="David CLM"/>
          <w:b w:val="0"/>
          <w:bCs w:val="0"/>
          <w:rtl/>
        </w:rPr>
        <w:commentReference w:id="12"/>
      </w:r>
      <w:r>
        <w:rPr>
          <w:rFonts w:ascii="David" w:hAnsi="David" w:cs="David"/>
          <w:b w:val="0"/>
          <w:bCs w:val="0"/>
          <w:rtl/>
        </w:rPr>
        <w:t>– תיתפס בעיניי הכלל כתרבותית ללא עוררין, אך אין פירוש הדבר שבידור שמטרתו שעשוע נופל מהגדרה זו. בין שעונה לפרשנות אחת של המושג או לשתיהן, הבידור - על כל סוגיו -  מהווה בהכרח תרבות, ובלתי נבחן ממנה.</w:t>
      </w:r>
    </w:p>
    <w:p w14:paraId="158D0977" w14:textId="77777777" w:rsidR="00E2214B" w:rsidRDefault="00000000">
      <w:pPr>
        <w:pStyle w:val="Academic"/>
        <w:ind w:firstLine="0"/>
      </w:pPr>
      <w:r>
        <w:rPr>
          <w:rFonts w:ascii="David" w:hAnsi="David" w:cs="David"/>
          <w:b w:val="0"/>
          <w:bCs w:val="0"/>
          <w:rtl/>
        </w:rPr>
        <w:tab/>
        <w:t xml:space="preserve">היעדרה של </w:t>
      </w:r>
      <w:r w:rsidRPr="00F65400">
        <w:rPr>
          <w:rFonts w:ascii="David" w:hAnsi="David" w:cs="David"/>
          <w:b w:val="0"/>
          <w:bCs w:val="0"/>
          <w:highlight w:val="green"/>
          <w:rtl/>
        </w:rPr>
        <w:t>א</w:t>
      </w:r>
      <w:r>
        <w:rPr>
          <w:rFonts w:ascii="David" w:hAnsi="David" w:cs="David"/>
          <w:b w:val="0"/>
          <w:bCs w:val="0"/>
          <w:rtl/>
        </w:rPr>
        <w:t xml:space="preserve">בחנה זו משחק תפקיד מכריע במיוחד בעידן הגלובליזציה. תרבויות מכל קצוות תבל נגישות מאי פעם לאוכלוסיות שלא נחשפו להן מעולם, בין שמונגשות על ידי האינטרנט, המרחקים הגיאוגרפיים המתקצרים למעמד הביניים הצומח, או באמצעים רבים אחרים. נגישות זו היא כחרב פיפיות: בכוחה ליישב סכסוכים ולהצית אותם; לשחרר ולשעבד; להפריח השקפות עולם ולרסק אותן. </w:t>
      </w:r>
      <w:commentRangeStart w:id="13"/>
      <w:r>
        <w:rPr>
          <w:rFonts w:ascii="David" w:hAnsi="David" w:cs="David"/>
          <w:b w:val="0"/>
          <w:bCs w:val="0"/>
          <w:rtl/>
        </w:rPr>
        <w:t xml:space="preserve">החלטות תמימות למראה בשמו של הבידור </w:t>
      </w:r>
      <w:commentRangeEnd w:id="13"/>
      <w:r w:rsidR="00F65400">
        <w:rPr>
          <w:rStyle w:val="CommentReference"/>
          <w:rFonts w:ascii="Liberation Serif" w:hAnsi="Liberation Serif" w:cs="David CLM"/>
          <w:b w:val="0"/>
          <w:bCs w:val="0"/>
          <w:rtl/>
        </w:rPr>
        <w:commentReference w:id="13"/>
      </w:r>
      <w:r>
        <w:rPr>
          <w:rFonts w:ascii="David" w:hAnsi="David" w:cs="David"/>
          <w:b w:val="0"/>
          <w:bCs w:val="0"/>
          <w:rtl/>
        </w:rPr>
        <w:t xml:space="preserve">הפשוט טומנות בחובן השלכות מרחיקות לכת. הנגשת התכנים האמריקניים שמציפים את האינטרנט, למשל, מאחה במובן עמוק את </w:t>
      </w:r>
      <w:proofErr w:type="spellStart"/>
      <w:r>
        <w:rPr>
          <w:rFonts w:ascii="David" w:hAnsi="David" w:cs="David"/>
          <w:b w:val="0"/>
          <w:bCs w:val="0"/>
          <w:rtl/>
        </w:rPr>
        <w:t>צרכניהם</w:t>
      </w:r>
      <w:proofErr w:type="spellEnd"/>
      <w:r>
        <w:rPr>
          <w:rFonts w:ascii="David" w:hAnsi="David" w:cs="David"/>
          <w:b w:val="0"/>
          <w:bCs w:val="0"/>
          <w:rtl/>
        </w:rPr>
        <w:t xml:space="preserve"> לכדי תרבות אמריקנית, כנתיניה של רומא בימי קדם. קטיעת נגישות זו רבת השלכות גם היא – מאמציהם הכבירים של משטרים טוטליטריים לצנזר תרבויות זרות ניצבת כעדות לכך. הבחנה כוזבת בין בידור לתרבות בכוחה לעוור את עינינו לפוטנציאל גלום זה – התרבות, על כל כוחה והשלכותיה, נוכחת גם בבידור, ולו הפשוט והבסיסי ביותר</w:t>
      </w:r>
      <w:commentRangeStart w:id="14"/>
      <w:r>
        <w:rPr>
          <w:rFonts w:ascii="David" w:hAnsi="David" w:cs="David"/>
          <w:b w:val="0"/>
          <w:bCs w:val="0"/>
          <w:rtl/>
        </w:rPr>
        <w:t>.</w:t>
      </w:r>
      <w:commentRangeEnd w:id="14"/>
      <w:r w:rsidR="00F65400">
        <w:rPr>
          <w:rStyle w:val="CommentReference"/>
          <w:rFonts w:ascii="Liberation Serif" w:hAnsi="Liberation Serif" w:cs="David CLM"/>
          <w:b w:val="0"/>
          <w:bCs w:val="0"/>
          <w:rtl/>
        </w:rPr>
        <w:commentReference w:id="14"/>
      </w:r>
    </w:p>
    <w:sectPr w:rsidR="00E2214B">
      <w:pgSz w:w="12240" w:h="15840"/>
      <w:pgMar w:top="1134" w:right="1134" w:bottom="1134" w:left="1134" w:header="0" w:footer="0" w:gutter="0"/>
      <w:cols w:space="720"/>
      <w:formProt w:val="0"/>
      <w:docGrid w:linePitch="10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Dan Tenne" w:date="2023-01-16T01:45:00Z" w:initials="DT">
    <w:p w14:paraId="6790BD6A" w14:textId="77777777" w:rsidR="00F65400" w:rsidRDefault="00F65400">
      <w:pPr>
        <w:pStyle w:val="CommentText"/>
      </w:pPr>
      <w:r>
        <w:rPr>
          <w:rStyle w:val="CommentReference"/>
        </w:rPr>
        <w:annotationRef/>
      </w:r>
      <w:r>
        <w:rPr>
          <w:rFonts w:cs="Times New Roman"/>
          <w:rtl/>
        </w:rPr>
        <w:t>אתה מתחיל בגוף הדברים.</w:t>
      </w:r>
    </w:p>
    <w:p w14:paraId="3E42F6AC" w14:textId="77777777" w:rsidR="00F65400" w:rsidRDefault="00F65400" w:rsidP="00DB445E">
      <w:pPr>
        <w:pStyle w:val="CommentText"/>
      </w:pPr>
      <w:r>
        <w:rPr>
          <w:rFonts w:cs="Times New Roman"/>
          <w:rtl/>
        </w:rPr>
        <w:t>חסר דיון מבואי להכניס את הקורא לטיעון. וזה נדרש כאן במיוחד שכן המהלך שנפרש כבר בפסקה הראשונה הוא מורכב.</w:t>
      </w:r>
    </w:p>
  </w:comment>
  <w:comment w:id="0" w:author="Dan Tenne" w:date="2023-01-16T01:43:00Z" w:initials="DT">
    <w:p w14:paraId="1A74DCD9" w14:textId="6A9996BB" w:rsidR="00F65400" w:rsidRDefault="00F65400" w:rsidP="00E16029">
      <w:pPr>
        <w:pStyle w:val="CommentText"/>
      </w:pPr>
      <w:r>
        <w:rPr>
          <w:rStyle w:val="CommentReference"/>
        </w:rPr>
        <w:annotationRef/>
      </w:r>
      <w:r>
        <w:rPr>
          <w:rFonts w:cs="Times New Roman"/>
          <w:rtl/>
        </w:rPr>
        <w:t>זה לא בדיוק דיויד.</w:t>
      </w:r>
    </w:p>
  </w:comment>
  <w:comment w:id="2" w:author="Dan Tenne" w:date="2023-01-16T01:43:00Z" w:initials="DT">
    <w:p w14:paraId="05860574" w14:textId="77777777" w:rsidR="00F65400" w:rsidRDefault="00F65400" w:rsidP="00534238">
      <w:pPr>
        <w:pStyle w:val="CommentText"/>
      </w:pPr>
      <w:r>
        <w:rPr>
          <w:rStyle w:val="CommentReference"/>
        </w:rPr>
        <w:annotationRef/>
      </w:r>
      <w:r>
        <w:rPr>
          <w:rFonts w:cs="Times New Roman"/>
          <w:rtl/>
        </w:rPr>
        <w:t>מוטב: כוללת תחת תרבות.</w:t>
      </w:r>
    </w:p>
  </w:comment>
  <w:comment w:id="3" w:author="Dan Tenne" w:date="2023-01-16T01:57:00Z" w:initials="DT">
    <w:p w14:paraId="01347EEF" w14:textId="77777777" w:rsidR="00F65400" w:rsidRDefault="00F65400" w:rsidP="00161B54">
      <w:pPr>
        <w:pStyle w:val="CommentText"/>
      </w:pPr>
      <w:r>
        <w:rPr>
          <w:rStyle w:val="CommentReference"/>
        </w:rPr>
        <w:annotationRef/>
      </w:r>
      <w:r>
        <w:rPr>
          <w:rFonts w:cs="Times New Roman"/>
          <w:rtl/>
        </w:rPr>
        <w:t>בפסקה המסיימת הגדרה זו לא תספיק. כוונתך בביטוי 'לחלוק תרבות' דורשת יותר מכך.</w:t>
      </w:r>
    </w:p>
  </w:comment>
  <w:comment w:id="4" w:author="Dan Tenne" w:date="2023-01-16T01:44:00Z" w:initials="DT">
    <w:p w14:paraId="1E71FA48" w14:textId="5AC69EE1" w:rsidR="00F65400" w:rsidRDefault="00F65400">
      <w:pPr>
        <w:pStyle w:val="CommentText"/>
      </w:pPr>
      <w:r>
        <w:rPr>
          <w:rStyle w:val="CommentReference"/>
        </w:rPr>
        <w:annotationRef/>
      </w:r>
      <w:r>
        <w:rPr>
          <w:rFonts w:cs="Times New Roman"/>
          <w:rtl/>
        </w:rPr>
        <w:t>?ֻ</w:t>
      </w:r>
    </w:p>
    <w:p w14:paraId="159B515C" w14:textId="77777777" w:rsidR="00F65400" w:rsidRDefault="00F65400">
      <w:pPr>
        <w:pStyle w:val="CommentText"/>
      </w:pPr>
    </w:p>
    <w:p w14:paraId="460EEDBF" w14:textId="77777777" w:rsidR="00F65400" w:rsidRDefault="00F65400" w:rsidP="00816986">
      <w:pPr>
        <w:pStyle w:val="CommentText"/>
      </w:pPr>
      <w:r>
        <w:rPr>
          <w:rFonts w:cs="Times New Roman"/>
          <w:rtl/>
        </w:rPr>
        <w:t>, שאותה אכנה כאן 'טליאולוגית', וממוקדת ב...'</w:t>
      </w:r>
    </w:p>
  </w:comment>
  <w:comment w:id="5" w:author="Dan Tenne" w:date="2023-01-16T01:46:00Z" w:initials="DT">
    <w:p w14:paraId="7F9AF682" w14:textId="747B6CB3" w:rsidR="00F65400" w:rsidRDefault="00F65400" w:rsidP="00CD68AB">
      <w:pPr>
        <w:pStyle w:val="CommentText"/>
      </w:pPr>
      <w:r>
        <w:rPr>
          <w:rStyle w:val="CommentReference"/>
        </w:rPr>
        <w:annotationRef/>
      </w:r>
      <w:r>
        <w:rPr>
          <w:rFonts w:cs="Times New Roman"/>
          <w:rtl/>
        </w:rPr>
        <w:t>התבססותה או התבוססותה?</w:t>
      </w:r>
    </w:p>
  </w:comment>
  <w:comment w:id="6" w:author="Dan Tenne" w:date="2023-01-16T01:54:00Z" w:initials="DT">
    <w:p w14:paraId="30B47392" w14:textId="77777777" w:rsidR="00F65400" w:rsidRDefault="00F65400">
      <w:pPr>
        <w:pStyle w:val="CommentText"/>
      </w:pPr>
      <w:r>
        <w:rPr>
          <w:rStyle w:val="CommentReference"/>
        </w:rPr>
        <w:annotationRef/>
      </w:r>
      <w:r>
        <w:rPr>
          <w:rFonts w:cs="Times New Roman"/>
          <w:rtl/>
        </w:rPr>
        <w:t xml:space="preserve">זהו המונח השני, שאותו כאן אינך מגדיר. </w:t>
      </w:r>
    </w:p>
    <w:p w14:paraId="57F81CF0" w14:textId="77777777" w:rsidR="00F65400" w:rsidRDefault="00F65400" w:rsidP="00E1095D">
      <w:pPr>
        <w:pStyle w:val="CommentText"/>
      </w:pPr>
      <w:r>
        <w:rPr>
          <w:rFonts w:cs="Times New Roman"/>
          <w:rtl/>
        </w:rPr>
        <w:t>אתה רק מביא כאן דוגמא, שגם היא אינה ברורה שכן אתה בהמשך שהיא גם תופעה תרבותית (מבלי שאתה מסביר בדיוק כיצד); האין זו הנחת המבוקש? מה בדיוק בבידור הפך לתרבות? מה 'נשאר' בידור, או: מה מלכתחילה עשה זאת בידור ורק בהמשך הפך לתרבות?</w:t>
      </w:r>
    </w:p>
  </w:comment>
  <w:comment w:id="7" w:author="Dan Tenne" w:date="2023-01-16T01:47:00Z" w:initials="DT">
    <w:p w14:paraId="7561A4C8" w14:textId="5D5A3BD2" w:rsidR="00F65400" w:rsidRDefault="00F65400">
      <w:pPr>
        <w:pStyle w:val="CommentText"/>
      </w:pPr>
      <w:r>
        <w:rPr>
          <w:rStyle w:val="CommentReference"/>
        </w:rPr>
        <w:annotationRef/>
      </w:r>
      <w:r>
        <w:rPr>
          <w:rFonts w:cs="Times New Roman"/>
          <w:rtl/>
        </w:rPr>
        <w:t xml:space="preserve">משתמע שהוא זה שיצר אותה. שמא רק השתלב בה? </w:t>
      </w:r>
    </w:p>
    <w:p w14:paraId="3DFB9267" w14:textId="77777777" w:rsidR="00F65400" w:rsidRDefault="00F65400">
      <w:pPr>
        <w:pStyle w:val="CommentText"/>
      </w:pPr>
    </w:p>
    <w:p w14:paraId="3522B0F1" w14:textId="77777777" w:rsidR="00F65400" w:rsidRDefault="00F65400" w:rsidP="00D05D9D">
      <w:pPr>
        <w:pStyle w:val="CommentText"/>
      </w:pPr>
      <w:r>
        <w:rPr>
          <w:rFonts w:cs="Times New Roman"/>
          <w:rtl/>
        </w:rPr>
        <w:t>כלומר, הייתה תרבות בנבדל, והיו התופעות שתיארת, וסופן שנבלעו בתרבות, כביטויים נוספים שלה.</w:t>
      </w:r>
    </w:p>
  </w:comment>
  <w:comment w:id="8" w:author="Dan Tenne" w:date="2023-01-16T01:55:00Z" w:initials="DT">
    <w:p w14:paraId="5C72C2AB" w14:textId="77777777" w:rsidR="00F65400" w:rsidRDefault="00F65400" w:rsidP="00B75C4B">
      <w:pPr>
        <w:pStyle w:val="CommentText"/>
      </w:pPr>
      <w:r>
        <w:rPr>
          <w:rStyle w:val="CommentReference"/>
        </w:rPr>
        <w:annotationRef/>
      </w:r>
      <w:r>
        <w:rPr>
          <w:rFonts w:cs="Times New Roman"/>
          <w:rtl/>
        </w:rPr>
        <w:t>הניסוח כאן מניח את המבוקש. בידור אינו מתורבת, יענו לך היריבים, שכן זה מה שהיה עליך להוכיח.</w:t>
      </w:r>
    </w:p>
  </w:comment>
  <w:comment w:id="9" w:author="Dan Tenne" w:date="2023-01-16T01:52:00Z" w:initials="DT">
    <w:p w14:paraId="5DCC74CA" w14:textId="771BD30E" w:rsidR="00F65400" w:rsidRDefault="00F65400" w:rsidP="00F2211E">
      <w:pPr>
        <w:pStyle w:val="CommentText"/>
      </w:pPr>
      <w:r>
        <w:rPr>
          <w:rStyle w:val="CommentReference"/>
        </w:rPr>
        <w:annotationRef/>
      </w:r>
      <w:r>
        <w:rPr>
          <w:rFonts w:cs="Times New Roman"/>
          <w:rtl/>
        </w:rPr>
        <w:t>באיזה מובן מהשניים זה?</w:t>
      </w:r>
    </w:p>
  </w:comment>
  <w:comment w:id="10" w:author="Dan Tenne" w:date="2023-01-16T01:47:00Z" w:initials="DT">
    <w:p w14:paraId="3B89F640" w14:textId="578AD354" w:rsidR="00F65400" w:rsidRDefault="00F65400" w:rsidP="000709BC">
      <w:pPr>
        <w:pStyle w:val="CommentText"/>
      </w:pPr>
      <w:r>
        <w:rPr>
          <w:rStyle w:val="CommentReference"/>
        </w:rPr>
        <w:annotationRef/>
      </w:r>
      <w:r>
        <w:rPr>
          <w:rFonts w:cs="Times New Roman"/>
          <w:rtl/>
        </w:rPr>
        <w:t>עברת גופן. לא שמת לב בעצמך?</w:t>
      </w:r>
    </w:p>
  </w:comment>
  <w:comment w:id="11" w:author="Dan Tenne" w:date="2023-01-16T01:55:00Z" w:initials="DT">
    <w:p w14:paraId="24BA66EE" w14:textId="77777777" w:rsidR="00F65400" w:rsidRDefault="00F65400" w:rsidP="00470D92">
      <w:pPr>
        <w:pStyle w:val="CommentText"/>
      </w:pPr>
      <w:r>
        <w:rPr>
          <w:rStyle w:val="CommentReference"/>
        </w:rPr>
        <w:annotationRef/>
      </w:r>
      <w:r>
        <w:rPr>
          <w:rFonts w:cs="Times New Roman"/>
          <w:rtl/>
        </w:rPr>
        <w:t>מוטב לחזור עליו כאן.</w:t>
      </w:r>
    </w:p>
  </w:comment>
  <w:comment w:id="12" w:author="Dan Tenne" w:date="2023-01-16T01:56:00Z" w:initials="DT">
    <w:p w14:paraId="3803CFB2" w14:textId="77777777" w:rsidR="00F65400" w:rsidRDefault="00F65400" w:rsidP="00B33342">
      <w:pPr>
        <w:pStyle w:val="CommentText"/>
      </w:pPr>
      <w:r>
        <w:rPr>
          <w:rStyle w:val="CommentReference"/>
        </w:rPr>
        <w:annotationRef/>
      </w:r>
      <w:r>
        <w:rPr>
          <w:rFonts w:cs="Times New Roman"/>
          <w:rtl/>
        </w:rPr>
        <w:t>בידור?</w:t>
      </w:r>
    </w:p>
  </w:comment>
  <w:comment w:id="13" w:author="Dan Tenne" w:date="2023-01-16T01:57:00Z" w:initials="DT">
    <w:p w14:paraId="3F2916DE" w14:textId="77777777" w:rsidR="00F65400" w:rsidRDefault="00F65400" w:rsidP="007F218C">
      <w:pPr>
        <w:pStyle w:val="CommentText"/>
      </w:pPr>
      <w:r>
        <w:rPr>
          <w:rStyle w:val="CommentReference"/>
        </w:rPr>
        <w:annotationRef/>
      </w:r>
      <w:r>
        <w:rPr>
          <w:rFonts w:cs="Times New Roman"/>
          <w:rtl/>
        </w:rPr>
        <w:t>האין זה נושא חדש?</w:t>
      </w:r>
    </w:p>
  </w:comment>
  <w:comment w:id="14" w:author="Dan Tenne" w:date="2023-01-16T01:58:00Z" w:initials="DT">
    <w:p w14:paraId="2965B4C7" w14:textId="77777777" w:rsidR="00F65400" w:rsidRDefault="00F65400" w:rsidP="00B563AA">
      <w:pPr>
        <w:pStyle w:val="CommentText"/>
      </w:pPr>
      <w:r>
        <w:rPr>
          <w:rStyle w:val="CommentReference"/>
        </w:rPr>
        <w:annotationRef/>
      </w:r>
      <w:r>
        <w:rPr>
          <w:rFonts w:cs="Times New Roman"/>
          <w:rtl/>
        </w:rPr>
        <w:t>הדיון בהשלכות במקום - ומתבקש, אך היה ניתן להציגו באופן קולע יותר (כדוגמת ה'אמריקניזציה' שציינת בסוף).</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42F6AC" w15:done="0"/>
  <w15:commentEx w15:paraId="1A74DCD9" w15:done="0"/>
  <w15:commentEx w15:paraId="05860574" w15:done="0"/>
  <w15:commentEx w15:paraId="01347EEF" w15:done="0"/>
  <w15:commentEx w15:paraId="460EEDBF" w15:done="0"/>
  <w15:commentEx w15:paraId="7F9AF682" w15:done="0"/>
  <w15:commentEx w15:paraId="57F81CF0" w15:done="0"/>
  <w15:commentEx w15:paraId="3522B0F1" w15:done="0"/>
  <w15:commentEx w15:paraId="5C72C2AB" w15:done="0"/>
  <w15:commentEx w15:paraId="5DCC74CA" w15:done="0"/>
  <w15:commentEx w15:paraId="3B89F640" w15:done="0"/>
  <w15:commentEx w15:paraId="24BA66EE" w15:done="0"/>
  <w15:commentEx w15:paraId="3803CFB2" w15:done="0"/>
  <w15:commentEx w15:paraId="3F2916DE" w15:done="0"/>
  <w15:commentEx w15:paraId="2965B4C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6F2ABC" w16cex:dateUtc="2023-01-15T23:45:00Z"/>
  <w16cex:commentExtensible w16cex:durableId="276F2A37" w16cex:dateUtc="2023-01-15T23:43:00Z"/>
  <w16cex:commentExtensible w16cex:durableId="276F2A57" w16cex:dateUtc="2023-01-15T23:43:00Z"/>
  <w16cex:commentExtensible w16cex:durableId="276F2D78" w16cex:dateUtc="2023-01-15T23:57:00Z"/>
  <w16cex:commentExtensible w16cex:durableId="276F2A66" w16cex:dateUtc="2023-01-15T23:44:00Z"/>
  <w16cex:commentExtensible w16cex:durableId="276F2AF7" w16cex:dateUtc="2023-01-15T23:46:00Z"/>
  <w16cex:commentExtensible w16cex:durableId="276F2CD3" w16cex:dateUtc="2023-01-15T23:54:00Z"/>
  <w16cex:commentExtensible w16cex:durableId="276F2B35" w16cex:dateUtc="2023-01-15T23:47:00Z"/>
  <w16cex:commentExtensible w16cex:durableId="276F2D1C" w16cex:dateUtc="2023-01-15T23:55:00Z"/>
  <w16cex:commentExtensible w16cex:durableId="276F2C67" w16cex:dateUtc="2023-01-15T23:52:00Z"/>
  <w16cex:commentExtensible w16cex:durableId="276F2B47" w16cex:dateUtc="2023-01-15T23:47:00Z"/>
  <w16cex:commentExtensible w16cex:durableId="276F2D29" w16cex:dateUtc="2023-01-15T23:55:00Z"/>
  <w16cex:commentExtensible w16cex:durableId="276F2D35" w16cex:dateUtc="2023-01-15T23:56:00Z"/>
  <w16cex:commentExtensible w16cex:durableId="276F2D94" w16cex:dateUtc="2023-01-15T23:57:00Z"/>
  <w16cex:commentExtensible w16cex:durableId="276F2DDC" w16cex:dateUtc="2023-01-15T23: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42F6AC" w16cid:durableId="276F2ABC"/>
  <w16cid:commentId w16cid:paraId="1A74DCD9" w16cid:durableId="276F2A37"/>
  <w16cid:commentId w16cid:paraId="05860574" w16cid:durableId="276F2A57"/>
  <w16cid:commentId w16cid:paraId="01347EEF" w16cid:durableId="276F2D78"/>
  <w16cid:commentId w16cid:paraId="460EEDBF" w16cid:durableId="276F2A66"/>
  <w16cid:commentId w16cid:paraId="7F9AF682" w16cid:durableId="276F2AF7"/>
  <w16cid:commentId w16cid:paraId="57F81CF0" w16cid:durableId="276F2CD3"/>
  <w16cid:commentId w16cid:paraId="3522B0F1" w16cid:durableId="276F2B35"/>
  <w16cid:commentId w16cid:paraId="5C72C2AB" w16cid:durableId="276F2D1C"/>
  <w16cid:commentId w16cid:paraId="5DCC74CA" w16cid:durableId="276F2C67"/>
  <w16cid:commentId w16cid:paraId="3B89F640" w16cid:durableId="276F2B47"/>
  <w16cid:commentId w16cid:paraId="24BA66EE" w16cid:durableId="276F2D29"/>
  <w16cid:commentId w16cid:paraId="3803CFB2" w16cid:durableId="276F2D35"/>
  <w16cid:commentId w16cid:paraId="3F2916DE" w16cid:durableId="276F2D94"/>
  <w16cid:commentId w16cid:paraId="2965B4C7" w16cid:durableId="276F2DD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ans">
    <w:charset w:val="00"/>
    <w:family w:val="swiss"/>
    <w:pitch w:val="variable"/>
    <w:sig w:usb0="E00082FF" w:usb1="400078FF" w:usb2="00000021" w:usb3="00000000" w:csb0="0000019F" w:csb1="00000000"/>
  </w:font>
  <w:font w:name="David CLM">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Nachlieli CLM">
    <w:altName w:val="Cambria"/>
    <w:panose1 w:val="00000000000000000000"/>
    <w:charset w:val="00"/>
    <w:family w:val="roman"/>
    <w:notTrueType/>
    <w:pitch w:val="default"/>
  </w:font>
  <w:font w:name="David Libre">
    <w:altName w:val="Cambria"/>
    <w:panose1 w:val="00000000000000000000"/>
    <w:charset w:val="00"/>
    <w:family w:val="roman"/>
    <w:notTrueType/>
    <w:pitch w:val="default"/>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 Tenne">
    <w15:presenceInfo w15:providerId="AD" w15:userId="S::tenned@post.bgu.ac.il::c28d59b7-e2f7-4949-88be-795fe3ddc54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214B"/>
    <w:rsid w:val="00E2214B"/>
    <w:rsid w:val="00F6540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15758D6"/>
  <w15:docId w15:val="{6EFD3307-67B1-4468-8301-9EB9F1C25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w:hAnsi="Liberation Serif" w:cs="David CLM"/>
        <w:kern w:val="2"/>
        <w:sz w:val="24"/>
        <w:szCs w:val="24"/>
        <w:lang w:val="en-US" w:eastAsia="zh-CN" w:bidi="he-I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hAnsi="Liberation Sans" w:cs="Nachlieli CLM"/>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Academic">
    <w:name w:val="Academic"/>
    <w:basedOn w:val="Normal"/>
    <w:qFormat/>
    <w:pPr>
      <w:bidi/>
      <w:spacing w:after="115" w:line="360" w:lineRule="auto"/>
      <w:ind w:firstLine="346"/>
      <w:contextualSpacing/>
      <w:jc w:val="both"/>
    </w:pPr>
    <w:rPr>
      <w:rFonts w:ascii="Times New Roman" w:hAnsi="Times New Roman" w:cs="David Libre"/>
      <w:b/>
      <w:bCs/>
    </w:rPr>
  </w:style>
  <w:style w:type="character" w:styleId="CommentReference">
    <w:name w:val="annotation reference"/>
    <w:basedOn w:val="DefaultParagraphFont"/>
    <w:uiPriority w:val="99"/>
    <w:semiHidden/>
    <w:unhideWhenUsed/>
    <w:rsid w:val="00F65400"/>
    <w:rPr>
      <w:sz w:val="16"/>
      <w:szCs w:val="16"/>
    </w:rPr>
  </w:style>
  <w:style w:type="paragraph" w:styleId="CommentText">
    <w:name w:val="annotation text"/>
    <w:basedOn w:val="Normal"/>
    <w:link w:val="CommentTextChar"/>
    <w:uiPriority w:val="99"/>
    <w:unhideWhenUsed/>
    <w:rsid w:val="00F65400"/>
    <w:rPr>
      <w:sz w:val="20"/>
      <w:szCs w:val="20"/>
    </w:rPr>
  </w:style>
  <w:style w:type="character" w:customStyle="1" w:styleId="CommentTextChar">
    <w:name w:val="Comment Text Char"/>
    <w:basedOn w:val="DefaultParagraphFont"/>
    <w:link w:val="CommentText"/>
    <w:uiPriority w:val="99"/>
    <w:rsid w:val="00F65400"/>
    <w:rPr>
      <w:sz w:val="20"/>
      <w:szCs w:val="20"/>
    </w:rPr>
  </w:style>
  <w:style w:type="paragraph" w:styleId="CommentSubject">
    <w:name w:val="annotation subject"/>
    <w:basedOn w:val="CommentText"/>
    <w:next w:val="CommentText"/>
    <w:link w:val="CommentSubjectChar"/>
    <w:uiPriority w:val="99"/>
    <w:semiHidden/>
    <w:unhideWhenUsed/>
    <w:rsid w:val="00F65400"/>
    <w:rPr>
      <w:b/>
      <w:bCs/>
    </w:rPr>
  </w:style>
  <w:style w:type="character" w:customStyle="1" w:styleId="CommentSubjectChar">
    <w:name w:val="Comment Subject Char"/>
    <w:basedOn w:val="CommentTextChar"/>
    <w:link w:val="CommentSubject"/>
    <w:uiPriority w:val="99"/>
    <w:semiHidden/>
    <w:rsid w:val="00F6540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436</Words>
  <Characters>2491</Characters>
  <Application>Microsoft Office Word</Application>
  <DocSecurity>0</DocSecurity>
  <Lines>20</Lines>
  <Paragraphs>5</Paragraphs>
  <ScaleCrop>false</ScaleCrop>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 Tenne</cp:lastModifiedBy>
  <cp:revision>128</cp:revision>
  <dcterms:created xsi:type="dcterms:W3CDTF">2023-01-09T18:00:00Z</dcterms:created>
  <dcterms:modified xsi:type="dcterms:W3CDTF">2023-01-15T23:58:00Z</dcterms:modified>
  <dc:language>en-US</dc:language>
</cp:coreProperties>
</file>