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ascii="David" w:hAnsi="David" w:cs="David"/>
          <w:b w:val="false"/>
          <w:b w:val="false"/>
          <w:bCs w:val="false"/>
          <w:rtl w:val="true"/>
        </w:rPr>
        <w:t xml:space="preserve">בדיאלוג </w:t>
      </w:r>
      <w:r>
        <w:rPr>
          <w:rFonts w:ascii="David" w:hAnsi="David" w:cs="David"/>
          <w:b w:val="false"/>
          <w:b w:val="false"/>
          <w:bCs w:val="false"/>
          <w:i/>
          <w:i/>
          <w:iCs/>
          <w:rtl w:val="true"/>
        </w:rPr>
        <w:t>גורגיאס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של אפלטון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מבקש סוקראטס לעמוד על הדעה הרווחת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(</w:t>
      </w:r>
      <w:r>
        <w:rPr>
          <w:rFonts w:eastAsia="Nimbus Sans" w:cs="David" w:ascii="Times New Roman" w:hAnsi="Times New Roman"/>
          <w:b w:val="false"/>
          <w:bCs w:val="false"/>
          <w:i/>
          <w:iCs/>
          <w:caps w:val="false"/>
          <w:smallCaps w:val="false"/>
          <w:color w:val="auto"/>
          <w:spacing w:val="0"/>
          <w:kern w:val="2"/>
          <w:sz w:val="24"/>
          <w:szCs w:val="24"/>
          <w:lang w:val="en-US" w:eastAsia="zh-CN" w:bidi="hi-IN"/>
        </w:rPr>
        <w:t>δόξα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)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באתונה אודות טיבם של החיים הראויים ביותר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הצדק והאושר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שיאו של הדיאלוג הוא שיחתו של סוקראטס עם קאליקלס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אתונאי עשיר ומכובד על סף כניסתו לחיים הפוליטים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קאליקלס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חסר הבושה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חושף בפני סוקראטס את טיבם של החיים הראויים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כפי שהוא – ואולי אף אתונה כולה – תופסים אותם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אך מתביישים לומר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בחיבור זה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אציג  משנה זו של קאליקלס אודות הצדק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האושר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והחיים שראוי לחיותם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ואת הטענות שמטיח קאליקלס בסוקראטס ובאורך חייו הפילוסופי לאורה של משנה זו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rtl w:val="true"/>
        </w:rPr>
        <w:t>קאליקלס סבור שבני האדם נחלקים לשניים – החזקים והחלשים</w:t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לטענתו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הצדק הטבעי קובע שעל החזקים למשול על החלשים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ולגזול מהם ככל שיוכלו לקחת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החלשים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בחוסר יכולתם לממש את הצדק הטבעי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 xml:space="preserve">חוקקו את החוק </w:t>
      </w:r>
      <w:r>
        <w:rPr>
          <w:rFonts w:eastAsia="Nimbus Sans" w:cs="Times New Roman" w:ascii="Times New Roman" w:hAnsi="Times New Roman"/>
          <w:b w:val="false"/>
          <w:bCs w:val="false"/>
          <w:color w:val="auto"/>
          <w:kern w:val="2"/>
          <w:sz w:val="24"/>
          <w:szCs w:val="24"/>
          <w:rtl w:val="true"/>
          <w:lang w:val="en-US" w:eastAsia="zh-CN" w:bidi="hi-IN"/>
        </w:rPr>
        <w:t>(</w:t>
      </w:r>
      <w:r>
        <w:rPr>
          <w:rFonts w:eastAsia="Nimbus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auto"/>
          <w:spacing w:val="0"/>
          <w:kern w:val="2"/>
          <w:sz w:val="24"/>
          <w:szCs w:val="24"/>
          <w:lang w:val="en-US" w:eastAsia="zh-CN" w:bidi="hi-IN"/>
        </w:rPr>
        <w:t>νόμος</w:t>
      </w:r>
      <w:r>
        <w:rPr>
          <w:rFonts w:eastAsia="Nimbus Sans" w:cs="Times New Roman" w:ascii="Times New Roman" w:hAnsi="Times New Roman"/>
          <w:b w:val="false"/>
          <w:b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) </w:t>
      </w: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האנושי – שהצדק הנובע ממנו מנוגד לצדק הטבעי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אותו המון חלש מגנה את השפע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עשיית העוול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והתאווה משום שבנחיתותם נאלצים הם להסתפק בשוויון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בסבילת העוול ובאיפוק</w:t>
      </w:r>
      <w:r>
        <w:rPr>
          <w:rStyle w:val="FootnoteAnchor"/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footnoteReference w:id="2"/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בניגוד לנאה בעיניי הצדק האנושי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החיים הראויים לפי הטבע הם חיי השפע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הפריצות והחירות – אין זה ראוי למשול בתאוות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אלא להגדיל אותן ככל הניתן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ולספק אותן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חיים אלו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המלאים שפע ככל שרק אפשר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הם סגולתו הבלעדית של הגבר הראוי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החזק והחכם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החלשים – מתוך בושתם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משעבדים את יחידי הסגולה שבכוחם לעשות כן</w:t>
      </w:r>
      <w:r>
        <w:rPr>
          <w:rStyle w:val="FootnoteAnchor"/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footnoteReference w:id="3"/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rtl w:val="true"/>
        </w:rPr>
        <w:t>מתוקף תפיסה זו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חושף קאליקלס את הבוז שחש כלפי החיים הפילוסופיים</w:t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משחורגת הפילוסופיה מגבולותיה הטבעיים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כחלק מחינוכם הטוב של צעירים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גוזלת היא את מקומם של כישורים חשובים בהרבה – הפוליטיקה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החוק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הרטוריקה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ההנאה והתשוקה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שניסיון בהם נדרש לכל מי שיממש את עוצמתו ויהיה הגבר הטוב</w:t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זה אשר אינו מטפח גבריות זו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דינו חולשה</w:t>
      </w:r>
      <w:r>
        <w:rPr>
          <w:rFonts w:cs="David" w:ascii="David" w:hAnsi="David"/>
          <w:b w:val="false"/>
          <w:b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rtl w:val="true"/>
        </w:rPr>
        <w:t>אינו יוכל להשמיע את קולו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אינו יוכל לתת את דעתו בחיים הציבוריים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אינו יוכל להגן על עצמו מול אויביו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ומול אימת הדין</w:t>
      </w:r>
      <w:r>
        <w:rPr>
          <w:rStyle w:val="FootnoteAnchor"/>
          <w:rFonts w:ascii="David" w:hAnsi="David" w:cs="David"/>
          <w:b w:val="false"/>
          <w:b w:val="false"/>
          <w:bCs w:val="false"/>
          <w:rtl w:val="true"/>
        </w:rPr>
        <w:footnoteReference w:id="4"/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סוקראטס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ראוי לציין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חי בעוני מרוד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בכך סבור קאליקלס שחוטא הוא למושג הצדק הטבעי – הוא אינו מממש את טבעו המצויין להגדלת כוחו ומימוש תאוותיו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אלא – כמו החלשים – מפגין איפוק וכובש את יצריו</w:t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החזק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אומר קאליקלס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מושל באחרים – ולא בעצמו</w:t>
      </w:r>
      <w:r>
        <w:rPr>
          <w:rFonts w:cs="David" w:ascii="David" w:hAnsi="David"/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rtl w:val="true"/>
        </w:rPr>
        <w:t>בחיבור זה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הצגתי את משנתו של קאליקלס אודות הצדק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האושר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והחיים הראויים</w:t>
      </w:r>
      <w:r>
        <w:rPr>
          <w:rFonts w:cs="David" w:ascii="David" w:hAnsi="David"/>
          <w:b w:val="false"/>
          <w:b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rtl w:val="true"/>
        </w:rPr>
        <w:t>הצדק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שהחזק ימשול בחלש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ושחלקו יגדל ממנו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האושר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בתאווה חסרת גבולות שבכוח האדם למלא בשפע ככל הניתן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החיים הראויים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חיי שפע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פריצות וחירות – שבהם שולט הצדק הטבעי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 xml:space="preserve">ולא </w:t>
      </w:r>
      <w:r>
        <w:rPr>
          <w:rFonts w:ascii="David" w:hAnsi="David" w:cs="David"/>
          <w:b w:val="false"/>
          <w:b w:val="false"/>
          <w:bCs w:val="false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rtl w:val="true"/>
        </w:rPr>
        <w:t>חוק הכוזב של ההמון החלש</w:t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הפילוסופיה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כשחורגת מגבולותיה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באה על חשבון כישורים החיוניים לרכישת סגולה טובה זו – ומשום כך בזויה ומגונה</w:t>
      </w:r>
      <w:r>
        <w:rPr>
          <w:rFonts w:cs="David" w:ascii="David" w:hAnsi="David"/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b/>
          <w:b/>
          <w:bCs/>
          <w:u w:val="single"/>
        </w:rPr>
      </w:pPr>
      <w:r>
        <w:rPr>
          <w:b/>
          <w:bCs/>
          <w:u w:val="single"/>
          <w:rtl w:val="true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b/>
          <w:b/>
          <w:bCs/>
          <w:u w:val="single"/>
        </w:rPr>
      </w:pPr>
      <w:r>
        <w:rPr>
          <w:b/>
          <w:bCs/>
          <w:u w:val="single"/>
          <w:rtl w:val="true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b/>
          <w:b/>
          <w:bCs/>
          <w:u w:val="single"/>
        </w:rPr>
      </w:pPr>
      <w:r>
        <w:rPr>
          <w:rFonts w:ascii="David" w:hAnsi="David" w:eastAsia="Nimbus Sans" w:cs="David"/>
          <w:b/>
          <w:b/>
          <w:bCs/>
          <w:color w:val="auto"/>
          <w:kern w:val="2"/>
          <w:sz w:val="24"/>
          <w:sz w:val="24"/>
          <w:szCs w:val="24"/>
          <w:u w:val="single"/>
          <w:rtl w:val="true"/>
          <w:lang w:val="en-US" w:eastAsia="zh-CN" w:bidi="hi-IN"/>
        </w:rPr>
        <w:t>ביבליוגרפיה</w:t>
      </w:r>
    </w:p>
    <w:p>
      <w:pPr>
        <w:pStyle w:val="Normal"/>
        <w:bidi w:val="1"/>
        <w:spacing w:lineRule="auto" w:line="360"/>
        <w:ind w:right="0" w:hanging="0"/>
        <w:jc w:val="center"/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ליבס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יוסף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כתבי אפלטון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 xml:space="preserve"> –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כרך א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>'.</w:t>
      </w:r>
    </w:p>
    <w:p>
      <w:pPr>
        <w:pStyle w:val="Normal"/>
        <w:bidi w:val="1"/>
        <w:spacing w:lineRule="auto" w:line="360"/>
        <w:ind w:right="0" w:hanging="0"/>
        <w:jc w:val="center"/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ירושלים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: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הוצאת שוקן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auto"/>
          <w:spacing w:val="0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תשט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aps w:val="false"/>
          <w:smallCaps w:val="false"/>
          <w:color w:val="auto"/>
          <w:spacing w:val="0"/>
          <w:kern w:val="2"/>
          <w:sz w:val="24"/>
          <w:szCs w:val="24"/>
          <w:u w:val="none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auto"/>
          <w:spacing w:val="0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ו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 xml:space="preserve"> 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>1954</w:t>
      </w:r>
    </w:p>
    <w:p>
      <w:pPr>
        <w:pStyle w:val="Normal"/>
        <w:bidi w:val="0"/>
        <w:spacing w:lineRule="auto" w:line="360"/>
        <w:ind w:left="810" w:right="0" w:hanging="0"/>
        <w:jc w:val="center"/>
        <w:rPr>
          <w:rFonts w:ascii="Times New Roman" w:hAnsi="Times New Roman" w:eastAsia="Nimbus Sans" w:cs="David"/>
          <w:b w:val="fals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Fonts w:eastAsia="Nimbus Sans" w:cs="David" w:ascii="Times New Roman" w:hAnsi="Times New Roman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Sachs, Joe.  </w:t>
      </w:r>
      <w:r>
        <w:rPr>
          <w:rFonts w:eastAsia="Nimbus Sans" w:cs="David" w:ascii="Times New Roman" w:hAnsi="Times New Roman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i-IN"/>
        </w:rPr>
        <w:t>Plato: Gorgias &amp; Aristotle: Rhetoric – first edition.</w:t>
      </w:r>
    </w:p>
    <w:p>
      <w:pPr>
        <w:pStyle w:val="Normal"/>
        <w:bidi w:val="0"/>
        <w:spacing w:lineRule="auto" w:line="360"/>
        <w:ind w:right="0" w:hanging="0"/>
        <w:jc w:val="center"/>
        <w:rPr>
          <w:rFonts w:ascii="Times New Roman" w:hAnsi="Times New Roman"/>
        </w:rPr>
      </w:pPr>
      <w:r>
        <w:rPr>
          <w:rFonts w:ascii="Times New Roman" w:hAnsi="Times New Roman"/>
          <w:i w:val="false"/>
          <w:iCs w:val="false"/>
        </w:rPr>
        <w:t>Newburyport: Focus Pub./R.Pulling Co. , 2009</w:t>
      </w:r>
    </w:p>
    <w:p>
      <w:pPr>
        <w:pStyle w:val="Normal"/>
        <w:bidi w:val="1"/>
        <w:spacing w:lineRule="auto" w:line="360"/>
        <w:ind w:left="810" w:right="0" w:hanging="0"/>
        <w:jc w:val="center"/>
        <w:rPr/>
      </w:pPr>
      <w:r>
        <w:rPr>
          <w:rtl w:val="true"/>
        </w:rPr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687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David"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אפלטון</w:t>
      </w:r>
      <w:r>
        <w:rPr>
          <w:rtl w:val="true"/>
        </w:rPr>
        <w:t xml:space="preserve">, </w:t>
      </w:r>
      <w:r>
        <w:rPr>
          <w:i w:val="false"/>
          <w:iCs w:val="false"/>
          <w:rtl w:val="true"/>
        </w:rPr>
        <w:t>"</w:t>
      </w:r>
      <w:r>
        <w:rPr>
          <w:i w:val="false"/>
          <w:i w:val="false"/>
          <w:iCs w:val="false"/>
          <w:rtl w:val="true"/>
        </w:rPr>
        <w:t>גורגיאס</w:t>
      </w:r>
      <w:r>
        <w:rPr>
          <w:i w:val="false"/>
          <w:iCs w:val="false"/>
          <w:rtl w:val="true"/>
        </w:rPr>
        <w:t xml:space="preserve">". </w:t>
      </w:r>
      <w:r>
        <w:rPr>
          <w:i w:val="false"/>
          <w:i w:val="false"/>
          <w:iCs w:val="false"/>
          <w:rtl w:val="true"/>
        </w:rPr>
        <w:t>בתוך</w:t>
      </w:r>
      <w:r>
        <w:rPr>
          <w:rtl w:val="true"/>
        </w:rPr>
        <w:t xml:space="preserve"> </w:t>
      </w:r>
      <w:r>
        <w:rPr>
          <w:i/>
          <w:i/>
          <w:iCs/>
          <w:rtl w:val="true"/>
        </w:rPr>
        <w:t>כתבי  אפלטון</w:t>
      </w:r>
      <w:r>
        <w:rPr>
          <w:i w:val="false"/>
          <w:i w:val="false"/>
          <w:iCs w:val="false"/>
          <w:rtl w:val="true"/>
        </w:rPr>
        <w:t xml:space="preserve"> </w:t>
      </w:r>
      <w:r>
        <w:rPr>
          <w:i w:val="false"/>
          <w:iCs w:val="false"/>
          <w:rtl w:val="true"/>
        </w:rPr>
        <w:t xml:space="preserve">- </w:t>
      </w:r>
      <w:r>
        <w:rPr>
          <w:i/>
          <w:i/>
          <w:iCs/>
          <w:rtl w:val="true"/>
        </w:rPr>
        <w:t>כרך א</w:t>
      </w:r>
      <w:r>
        <w:rPr>
          <w:i/>
          <w:iCs/>
          <w:rtl w:val="true"/>
        </w:rPr>
        <w:t>'.</w:t>
      </w: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 xml:space="preserve">תרגם י וסף ליבס </w:t>
      </w:r>
      <w:r>
        <w:rPr>
          <w:i w:val="false"/>
          <w:iCs w:val="false"/>
          <w:rtl w:val="true"/>
        </w:rPr>
        <w:t>(</w:t>
      </w:r>
      <w:r>
        <w:rPr>
          <w:i w:val="false"/>
          <w:i w:val="false"/>
          <w:iCs w:val="false"/>
          <w:rtl w:val="true"/>
        </w:rPr>
        <w:t>ירושלים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הוצאת שוקן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תשט</w:t>
      </w:r>
      <w:r>
        <w:rPr>
          <w:i w:val="false"/>
          <w:iCs w:val="false"/>
          <w:rtl w:val="true"/>
        </w:rPr>
        <w:t>"</w:t>
      </w:r>
      <w:r>
        <w:rPr>
          <w:i w:val="false"/>
          <w:i w:val="false"/>
          <w:iCs w:val="false"/>
          <w:rtl w:val="true"/>
        </w:rPr>
        <w:t xml:space="preserve">ו </w:t>
      </w:r>
      <w:r>
        <w:rPr>
          <w:i w:val="false"/>
          <w:iCs w:val="false"/>
        </w:rPr>
        <w:t>1954</w:t>
      </w:r>
      <w:r>
        <w:rPr>
          <w:i w:val="false"/>
          <w:iCs w:val="false"/>
          <w:rtl w:val="true"/>
        </w:rPr>
        <w:t>),</w:t>
      </w:r>
      <w:r>
        <w:rPr>
          <w:rtl w:val="true"/>
        </w:rPr>
        <w:t xml:space="preserve"> </w:t>
      </w:r>
      <w:r>
        <w:rPr>
          <w:rtl w:val="true"/>
        </w:rPr>
        <w:t>עמ</w:t>
      </w:r>
      <w:r>
        <w:rPr>
          <w:rtl w:val="true"/>
        </w:rPr>
        <w:t xml:space="preserve">' </w:t>
      </w:r>
      <w:r>
        <w:rPr/>
        <w:t>331-2</w:t>
      </w:r>
      <w:r>
        <w:rPr>
          <w:rtl w:val="true"/>
        </w:rPr>
        <w:t xml:space="preserve">, </w:t>
      </w:r>
      <w:r>
        <w:rPr>
          <w:rtl w:val="true"/>
        </w:rPr>
        <w:t>פס</w:t>
      </w:r>
      <w:r>
        <w:rPr>
          <w:rtl w:val="true"/>
        </w:rPr>
        <w:t xml:space="preserve">' </w:t>
      </w:r>
      <w:r>
        <w:rPr/>
        <w:t>483</w:t>
      </w:r>
    </w:p>
  </w:footnote>
  <w:footnote w:id="3">
    <w:p>
      <w:pPr>
        <w:pStyle w:val="Footnote"/>
        <w:bidi w:val="1"/>
        <w:jc w:val="left"/>
        <w:rPr>
          <w:rFonts w:ascii="Liberation Serif" w:hAnsi="Liberation Serif" w:eastAsia="Nimbus Sans" w:cs="FreeSans"/>
          <w:color w:val="auto"/>
          <w:kern w:val="2"/>
          <w:sz w:val="20"/>
          <w:szCs w:val="20"/>
          <w:lang w:val="en-US" w:eastAsia="zh-CN" w:bidi="hi-IN"/>
        </w:rPr>
      </w:pPr>
      <w:r>
        <w:rPr>
          <w:rStyle w:val="FootnoteCharacters"/>
        </w:rPr>
        <w:footnoteRef/>
      </w:r>
      <w:r>
        <w:rPr>
          <w:rFonts w:eastAsia="Nimbus Sans" w:cs="FreeSans"/>
          <w:i w:val="false"/>
          <w:iCs w:val="false"/>
          <w:color w:val="auto"/>
          <w:kern w:val="2"/>
          <w:sz w:val="20"/>
          <w:szCs w:val="20"/>
          <w:rtl w:val="true"/>
          <w:lang w:val="en-US" w:eastAsia="zh-CN" w:bidi="hi-IN"/>
        </w:rPr>
        <w:tab/>
        <w:t xml:space="preserve"> </w:t>
      </w:r>
      <w:r>
        <w:rPr>
          <w:rFonts w:ascii="Liberation Serif" w:hAnsi="Liberation Serif" w:eastAsia="Nimbus Sans"/>
          <w:i w:val="false"/>
          <w:i w:val="false"/>
          <w:iCs w:val="false"/>
          <w:color w:val="auto"/>
          <w:kern w:val="2"/>
          <w:sz w:val="20"/>
          <w:sz w:val="20"/>
          <w:szCs w:val="20"/>
          <w:rtl w:val="true"/>
          <w:lang w:val="en-US" w:eastAsia="zh-CN" w:bidi="hi-IN"/>
        </w:rPr>
        <w:t>שם</w:t>
      </w:r>
      <w:r>
        <w:rPr>
          <w:rFonts w:eastAsia="Nimbus Sans" w:cs="FreeSans"/>
          <w:i/>
          <w:iCs/>
          <w:color w:val="auto"/>
          <w:kern w:val="2"/>
          <w:sz w:val="20"/>
          <w:szCs w:val="20"/>
          <w:rtl w:val="true"/>
          <w:lang w:val="en-US" w:eastAsia="zh-CN" w:bidi="hi-IN"/>
        </w:rPr>
        <w:t>.</w:t>
      </w:r>
      <w:r>
        <w:rPr>
          <w:rFonts w:eastAsia="Nimbus Sans" w:cs="FreeSans"/>
          <w:color w:val="auto"/>
          <w:kern w:val="2"/>
          <w:sz w:val="20"/>
          <w:szCs w:val="20"/>
          <w:rtl w:val="true"/>
          <w:lang w:val="en-US" w:eastAsia="zh-CN" w:bidi="hi-IN"/>
        </w:rPr>
        <w:t xml:space="preserve"> </w:t>
      </w:r>
      <w:r>
        <w:rPr>
          <w:rFonts w:ascii="Liberation Serif" w:hAnsi="Liberation Serif" w:eastAsia="Nimbus Sans"/>
          <w:color w:val="auto"/>
          <w:kern w:val="2"/>
          <w:sz w:val="20"/>
          <w:sz w:val="20"/>
          <w:szCs w:val="20"/>
          <w:rtl w:val="true"/>
          <w:lang w:val="en-US" w:eastAsia="zh-CN" w:bidi="hi-IN"/>
        </w:rPr>
        <w:t>עמ</w:t>
      </w:r>
      <w:r>
        <w:rPr>
          <w:rFonts w:eastAsia="Nimbus Sans" w:cs="FreeSans"/>
          <w:color w:val="auto"/>
          <w:kern w:val="2"/>
          <w:sz w:val="20"/>
          <w:szCs w:val="20"/>
          <w:rtl w:val="true"/>
          <w:lang w:val="en-US" w:eastAsia="zh-CN" w:bidi="hi-IN"/>
        </w:rPr>
        <w:t xml:space="preserve">' </w:t>
      </w:r>
      <w:r>
        <w:rPr>
          <w:rFonts w:eastAsia="Nimbus Sans" w:cs="FreeSans"/>
          <w:color w:val="auto"/>
          <w:kern w:val="2"/>
          <w:sz w:val="20"/>
          <w:szCs w:val="20"/>
          <w:lang w:val="en-US" w:eastAsia="zh-CN" w:bidi="hi-IN"/>
        </w:rPr>
        <w:t>343</w:t>
      </w:r>
      <w:r>
        <w:rPr>
          <w:rFonts w:eastAsia="Nimbus Sans" w:cs="FreeSans"/>
          <w:color w:val="auto"/>
          <w:kern w:val="2"/>
          <w:sz w:val="20"/>
          <w:szCs w:val="20"/>
          <w:rtl w:val="true"/>
          <w:lang w:val="en-US" w:eastAsia="zh-CN" w:bidi="hi-IN"/>
        </w:rPr>
        <w:t xml:space="preserve">, </w:t>
      </w:r>
      <w:r>
        <w:rPr>
          <w:rFonts w:ascii="Liberation Serif" w:hAnsi="Liberation Serif" w:eastAsia="Nimbus Sans"/>
          <w:color w:val="auto"/>
          <w:kern w:val="2"/>
          <w:sz w:val="20"/>
          <w:sz w:val="20"/>
          <w:szCs w:val="20"/>
          <w:rtl w:val="true"/>
          <w:lang w:val="en-US" w:eastAsia="zh-CN" w:bidi="hi-IN"/>
        </w:rPr>
        <w:t>פס</w:t>
      </w:r>
      <w:r>
        <w:rPr>
          <w:rFonts w:eastAsia="Nimbus Sans" w:cs="FreeSans"/>
          <w:color w:val="auto"/>
          <w:kern w:val="2"/>
          <w:sz w:val="20"/>
          <w:szCs w:val="20"/>
          <w:rtl w:val="true"/>
          <w:lang w:val="en-US" w:eastAsia="zh-CN" w:bidi="hi-IN"/>
        </w:rPr>
        <w:t xml:space="preserve">' </w:t>
      </w:r>
      <w:r>
        <w:rPr>
          <w:rFonts w:eastAsia="Nimbus Sans" w:cs="FreeSans"/>
          <w:color w:val="auto"/>
          <w:kern w:val="2"/>
          <w:sz w:val="20"/>
          <w:szCs w:val="20"/>
          <w:lang w:val="en-US" w:eastAsia="zh-CN" w:bidi="hi-IN"/>
        </w:rPr>
        <w:t>492</w:t>
      </w:r>
    </w:p>
  </w:footnote>
  <w:footnote w:id="4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Plato, “Gorgias”. </w:t>
      </w:r>
      <w:r>
        <w:rPr>
          <w:i/>
          <w:iCs/>
        </w:rPr>
        <w:t xml:space="preserve">Plato’s Gorgias </w:t>
      </w:r>
      <w:r>
        <w:rPr>
          <w:i/>
          <w:iCs/>
        </w:rPr>
        <w:t>&amp; Aristotle: Rhetoric – first edition.</w:t>
      </w:r>
      <w:r>
        <w:rPr>
          <w:i w:val="false"/>
          <w:iCs w:val="false"/>
        </w:rPr>
        <w:t xml:space="preserve"> Translated by Joe Sachs (Newburyport: Focus Pub./R.Pulling co., 2009),</w:t>
      </w:r>
      <w:r>
        <w:rPr>
          <w:i w:val="false"/>
          <w:iCs w:val="false"/>
        </w:rPr>
        <w:t xml:space="preserve"> p.72, para. 484D,484E,486D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rFonts w:ascii="David" w:hAnsi="David" w:eastAsia="Nimbus Sans" w:cs="David"/>
        <w:b/>
        <w:b/>
        <w:bCs/>
        <w:i w:val="false"/>
        <w:i w:val="false"/>
        <w:iCs w:val="false"/>
        <w:color w:val="auto"/>
        <w:kern w:val="2"/>
        <w:sz w:val="24"/>
        <w:szCs w:val="24"/>
        <w:u w:val="none"/>
        <w:lang w:val="en-US" w:eastAsia="zh-CN" w:bidi="hi-IN"/>
      </w:rPr>
    </w:pPr>
    <w:r>
      <w:rPr>
        <w:rFonts w:eastAsia="Nimbus Sans" w:cs="David" w:ascii="David" w:hAnsi="David"/>
        <w:b/>
        <w:bCs/>
        <w:i w:val="false"/>
        <w:iCs w:val="false"/>
        <w:color w:val="auto"/>
        <w:kern w:val="2"/>
        <w:sz w:val="24"/>
        <w:szCs w:val="24"/>
        <w:u w:val="none"/>
        <w:lang w:val="en-US" w:eastAsia="zh-CN" w:bidi="hi-IN"/>
      </w:rPr>
      <w:t>207130253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righ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righ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righ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righ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righ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righ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righ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righ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righ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Nimbus Sans" w:cs="Nimbus Sans"/>
      <w:b/>
      <w:bCs/>
      <w:sz w:val="48"/>
      <w:szCs w:val="4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hanging="340"/>
    </w:pPr>
    <w:rPr>
      <w:sz w:val="20"/>
      <w:szCs w:val="20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7006</TotalTime>
  <Application>LibreOffice/7.4.3.2$Linux_X86_64 LibreOffice_project/40$Build-2</Application>
  <AppVersion>15.0000</AppVersion>
  <Pages>2</Pages>
  <Words>443</Words>
  <Characters>2231</Characters>
  <CharactersWithSpaces>2686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2022-11-26T15:19:18Z</dcterms:created>
  <dc:creator/>
  <dc:description/>
  <dc:language>en-US</dc:language>
  <cp:lastModifiedBy/>
  <dcterms:modified xsi:type="dcterms:W3CDTF">2023-01-10T20:13:17Z</dcterms:modified>
  <cp:revision>247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