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18BD" w:rsidRDefault="00226E77" w:rsidP="002418BD">
      <w:pPr>
        <w:bidi/>
        <w:spacing w:after="0" w:line="240" w:lineRule="auto"/>
        <w:jc w:val="center"/>
        <w:rPr>
          <w:b/>
          <w:bCs/>
          <w:rtl/>
        </w:rPr>
      </w:pPr>
      <w:r>
        <w:rPr>
          <w:rFonts w:hint="cs"/>
          <w:b/>
          <w:bCs/>
          <w:rtl/>
        </w:rPr>
        <w:t xml:space="preserve">אפלטון והדיאלוגים האפלטוניים </w:t>
      </w:r>
      <w:proofErr w:type="spellStart"/>
      <w:r w:rsidR="002418BD">
        <w:rPr>
          <w:rFonts w:hint="cs"/>
          <w:b/>
          <w:bCs/>
          <w:rtl/>
        </w:rPr>
        <w:t>וסוקראטס</w:t>
      </w:r>
      <w:proofErr w:type="spellEnd"/>
      <w:r w:rsidR="002418BD">
        <w:rPr>
          <w:rFonts w:hint="cs"/>
          <w:b/>
          <w:bCs/>
          <w:rtl/>
        </w:rPr>
        <w:t xml:space="preserve"> </w:t>
      </w:r>
    </w:p>
    <w:p w:rsidR="00CD1919" w:rsidRDefault="00DD438A" w:rsidP="002418BD">
      <w:pPr>
        <w:bidi/>
        <w:spacing w:after="0" w:line="240" w:lineRule="auto"/>
        <w:jc w:val="center"/>
        <w:rPr>
          <w:b/>
          <w:bCs/>
          <w:rtl/>
        </w:rPr>
      </w:pPr>
      <w:r>
        <w:rPr>
          <w:rFonts w:hint="cs"/>
          <w:b/>
          <w:bCs/>
          <w:rtl/>
        </w:rPr>
        <w:t>דברי היכרות</w:t>
      </w:r>
    </w:p>
    <w:p w:rsidR="00A46F6F" w:rsidRDefault="00A46F6F" w:rsidP="0083451B">
      <w:pPr>
        <w:bidi/>
        <w:jc w:val="both"/>
        <w:rPr>
          <w:b/>
          <w:bCs/>
          <w:rtl/>
        </w:rPr>
      </w:pPr>
    </w:p>
    <w:p w:rsidR="00BA5652" w:rsidRDefault="00226E77" w:rsidP="00226E77">
      <w:pPr>
        <w:bidi/>
        <w:jc w:val="both"/>
        <w:rPr>
          <w:rtl/>
        </w:rPr>
      </w:pPr>
      <w:r>
        <w:rPr>
          <w:rFonts w:hint="cs"/>
          <w:rtl/>
        </w:rPr>
        <w:t>החל מהשבוע הקרוב</w:t>
      </w:r>
      <w:r w:rsidR="00BA5652">
        <w:rPr>
          <w:rFonts w:hint="cs"/>
          <w:rtl/>
        </w:rPr>
        <w:t xml:space="preserve"> </w:t>
      </w:r>
      <w:r w:rsidR="004B043F">
        <w:rPr>
          <w:rFonts w:hint="cs"/>
          <w:rtl/>
        </w:rPr>
        <w:t xml:space="preserve">נכנס </w:t>
      </w:r>
      <w:r>
        <w:rPr>
          <w:rFonts w:hint="cs"/>
          <w:rtl/>
        </w:rPr>
        <w:t>לשדה פילוסופי אחר</w:t>
      </w:r>
      <w:r w:rsidR="00BA5652">
        <w:rPr>
          <w:rFonts w:hint="cs"/>
          <w:rtl/>
        </w:rPr>
        <w:t xml:space="preserve"> </w:t>
      </w:r>
      <w:r w:rsidR="00BA5652">
        <w:rPr>
          <w:rtl/>
        </w:rPr>
        <w:t>–</w:t>
      </w:r>
      <w:r w:rsidR="00BA5652">
        <w:rPr>
          <w:rFonts w:hint="cs"/>
          <w:rtl/>
        </w:rPr>
        <w:t xml:space="preserve"> לעולם הפילוסופי </w:t>
      </w:r>
      <w:r w:rsidR="004B043F">
        <w:rPr>
          <w:rFonts w:hint="cs"/>
          <w:rtl/>
        </w:rPr>
        <w:t xml:space="preserve">של </w:t>
      </w:r>
      <w:r w:rsidR="00BA5652" w:rsidRPr="002418BD">
        <w:rPr>
          <w:rFonts w:hint="cs"/>
          <w:b/>
          <w:bCs/>
          <w:rtl/>
        </w:rPr>
        <w:t>אפלטון</w:t>
      </w:r>
      <w:r w:rsidR="00ED70BE">
        <w:rPr>
          <w:rFonts w:hint="cs"/>
          <w:rtl/>
        </w:rPr>
        <w:t xml:space="preserve"> (428-347 </w:t>
      </w:r>
      <w:proofErr w:type="spellStart"/>
      <w:r w:rsidR="00ED70BE">
        <w:rPr>
          <w:rFonts w:hint="cs"/>
          <w:rtl/>
        </w:rPr>
        <w:t>לפניה"ס</w:t>
      </w:r>
      <w:proofErr w:type="spellEnd"/>
      <w:r w:rsidR="00ED70BE">
        <w:rPr>
          <w:rFonts w:hint="cs"/>
          <w:rtl/>
        </w:rPr>
        <w:t>)</w:t>
      </w:r>
      <w:r w:rsidR="00BA5652">
        <w:rPr>
          <w:rFonts w:hint="cs"/>
          <w:rtl/>
        </w:rPr>
        <w:t>. ההבדל ניכר מיד.</w:t>
      </w:r>
      <w:r w:rsidR="00327693">
        <w:rPr>
          <w:rFonts w:hint="cs"/>
          <w:rtl/>
        </w:rPr>
        <w:t xml:space="preserve"> הן מבחינת </w:t>
      </w:r>
      <w:r w:rsidR="00BA5652">
        <w:rPr>
          <w:rFonts w:hint="cs"/>
          <w:rtl/>
        </w:rPr>
        <w:t xml:space="preserve">(א) </w:t>
      </w:r>
      <w:r w:rsidR="00327693">
        <w:rPr>
          <w:rFonts w:hint="cs"/>
          <w:rtl/>
        </w:rPr>
        <w:t>היקף הכתבים ש</w:t>
      </w:r>
      <w:r w:rsidR="00BA5652">
        <w:rPr>
          <w:rFonts w:hint="cs"/>
          <w:rtl/>
        </w:rPr>
        <w:t>שרדו</w:t>
      </w:r>
      <w:r w:rsidR="00327693">
        <w:rPr>
          <w:rFonts w:hint="cs"/>
          <w:rtl/>
        </w:rPr>
        <w:t xml:space="preserve">, </w:t>
      </w:r>
      <w:r w:rsidR="00BA5652">
        <w:rPr>
          <w:rFonts w:hint="cs"/>
          <w:rtl/>
        </w:rPr>
        <w:t xml:space="preserve">(ב) </w:t>
      </w:r>
      <w:r w:rsidR="00327693">
        <w:rPr>
          <w:rFonts w:hint="cs"/>
          <w:rtl/>
        </w:rPr>
        <w:t xml:space="preserve">רמת העומק </w:t>
      </w:r>
      <w:r w:rsidR="00BA5652">
        <w:rPr>
          <w:rFonts w:hint="cs"/>
          <w:rtl/>
        </w:rPr>
        <w:t xml:space="preserve">והיומרה הפילוסופית </w:t>
      </w:r>
      <w:r w:rsidR="00327693">
        <w:rPr>
          <w:rFonts w:hint="cs"/>
          <w:rtl/>
        </w:rPr>
        <w:t>ש</w:t>
      </w:r>
      <w:r w:rsidR="00BE2D8F">
        <w:rPr>
          <w:rFonts w:hint="cs"/>
          <w:rtl/>
        </w:rPr>
        <w:t>ב</w:t>
      </w:r>
      <w:r w:rsidR="00327693">
        <w:rPr>
          <w:rFonts w:hint="cs"/>
          <w:rtl/>
        </w:rPr>
        <w:t xml:space="preserve">הם, </w:t>
      </w:r>
      <w:r w:rsidR="00BE2D8F">
        <w:rPr>
          <w:rFonts w:hint="cs"/>
          <w:rtl/>
        </w:rPr>
        <w:t>ו</w:t>
      </w:r>
      <w:r w:rsidR="00BA5652">
        <w:rPr>
          <w:rFonts w:hint="cs"/>
          <w:rtl/>
        </w:rPr>
        <w:t xml:space="preserve">-(ג) </w:t>
      </w:r>
      <w:r w:rsidR="00BE2D8F">
        <w:rPr>
          <w:rFonts w:hint="cs"/>
          <w:rtl/>
        </w:rPr>
        <w:t>הקושי וההנאה ש</w:t>
      </w:r>
      <w:r w:rsidR="00BA5652">
        <w:rPr>
          <w:rFonts w:hint="cs"/>
          <w:rtl/>
        </w:rPr>
        <w:t xml:space="preserve">כרוכים </w:t>
      </w:r>
      <w:r w:rsidR="00BE2D8F">
        <w:rPr>
          <w:rFonts w:hint="cs"/>
          <w:rtl/>
        </w:rPr>
        <w:t>בלימודם</w:t>
      </w:r>
      <w:r w:rsidR="00327693">
        <w:rPr>
          <w:rFonts w:hint="cs"/>
          <w:rtl/>
        </w:rPr>
        <w:t xml:space="preserve">. </w:t>
      </w:r>
    </w:p>
    <w:p w:rsidR="00BA5652" w:rsidRDefault="00891A4B" w:rsidP="00BA5652">
      <w:pPr>
        <w:pStyle w:val="ListParagraph"/>
        <w:numPr>
          <w:ilvl w:val="0"/>
          <w:numId w:val="3"/>
        </w:numPr>
        <w:bidi/>
        <w:jc w:val="both"/>
      </w:pPr>
      <w:r>
        <w:rPr>
          <w:rFonts w:hint="cs"/>
          <w:rtl/>
        </w:rPr>
        <w:t xml:space="preserve">בניגוד להוגים שלמדנו עד כה, כל כתבי אפלטון נשתמרו לנו במלואם ובמצב מצוין. </w:t>
      </w:r>
      <w:r w:rsidR="00A75F8F">
        <w:rPr>
          <w:rFonts w:hint="cs"/>
          <w:rtl/>
        </w:rPr>
        <w:t xml:space="preserve">מהעולם היווני העתיק רק </w:t>
      </w:r>
      <w:proofErr w:type="spellStart"/>
      <w:r w:rsidR="00A75F8F">
        <w:rPr>
          <w:rFonts w:hint="cs"/>
          <w:rtl/>
        </w:rPr>
        <w:t>להומירוס</w:t>
      </w:r>
      <w:proofErr w:type="spellEnd"/>
      <w:r w:rsidR="00A75F8F">
        <w:rPr>
          <w:rFonts w:hint="cs"/>
          <w:rtl/>
        </w:rPr>
        <w:t xml:space="preserve"> היה מזל </w:t>
      </w:r>
      <w:r w:rsidR="00470813">
        <w:rPr>
          <w:rFonts w:hint="cs"/>
          <w:rtl/>
        </w:rPr>
        <w:t>דומה</w:t>
      </w:r>
      <w:r w:rsidR="00A75F8F">
        <w:rPr>
          <w:rFonts w:hint="cs"/>
          <w:rtl/>
        </w:rPr>
        <w:t>.</w:t>
      </w:r>
      <w:r w:rsidR="00BA5652">
        <w:rPr>
          <w:rFonts w:hint="cs"/>
          <w:rtl/>
        </w:rPr>
        <w:t xml:space="preserve">  כתבי אפלטון כבר אינם פרגמנטים, אלא חיבורים מלאים (לפעמים ארוכים מאד </w:t>
      </w:r>
      <w:r w:rsidR="00BA5652">
        <w:rPr>
          <w:rtl/>
        </w:rPr>
        <w:t>–</w:t>
      </w:r>
      <w:r w:rsidR="00BA5652">
        <w:rPr>
          <w:rFonts w:hint="cs"/>
          <w:rtl/>
        </w:rPr>
        <w:t xml:space="preserve"> תתכוננו!) ומורכבים מאין כמותם </w:t>
      </w:r>
      <w:r w:rsidR="00BA5652">
        <w:rPr>
          <w:rtl/>
        </w:rPr>
        <w:t>–</w:t>
      </w:r>
      <w:r w:rsidR="00BA5652">
        <w:rPr>
          <w:rFonts w:hint="cs"/>
          <w:rtl/>
        </w:rPr>
        <w:t xml:space="preserve"> ובזה יופיים הרב.</w:t>
      </w:r>
    </w:p>
    <w:p w:rsidR="00BA5652" w:rsidRDefault="00327693" w:rsidP="00BA5652">
      <w:pPr>
        <w:pStyle w:val="ListParagraph"/>
        <w:numPr>
          <w:ilvl w:val="0"/>
          <w:numId w:val="3"/>
        </w:numPr>
        <w:bidi/>
        <w:jc w:val="both"/>
      </w:pPr>
      <w:r>
        <w:rPr>
          <w:rFonts w:hint="cs"/>
          <w:rtl/>
        </w:rPr>
        <w:t xml:space="preserve">בדין נחשב אפלטון </w:t>
      </w:r>
      <w:r w:rsidR="001B63E8">
        <w:rPr>
          <w:rFonts w:hint="cs"/>
          <w:rtl/>
        </w:rPr>
        <w:t xml:space="preserve">למקור </w:t>
      </w:r>
      <w:r w:rsidR="00A75F8F">
        <w:rPr>
          <w:rFonts w:hint="cs"/>
          <w:rtl/>
        </w:rPr>
        <w:t>הנובע של כל מסורת הפילוסופיה המערבית: כל סוגיה פילוסופית אפשרית מופיע</w:t>
      </w:r>
      <w:r w:rsidR="00BA5652">
        <w:rPr>
          <w:rFonts w:hint="cs"/>
          <w:rtl/>
        </w:rPr>
        <w:t>ה</w:t>
      </w:r>
      <w:r w:rsidR="00A75F8F">
        <w:rPr>
          <w:rFonts w:hint="cs"/>
          <w:rtl/>
        </w:rPr>
        <w:t xml:space="preserve"> </w:t>
      </w:r>
      <w:r w:rsidR="00BA5652">
        <w:rPr>
          <w:rFonts w:hint="cs"/>
          <w:rtl/>
        </w:rPr>
        <w:t xml:space="preserve">בכתבי </w:t>
      </w:r>
      <w:r w:rsidR="00A75F8F">
        <w:rPr>
          <w:rFonts w:hint="cs"/>
          <w:rtl/>
        </w:rPr>
        <w:t>אפלטון</w:t>
      </w:r>
      <w:r w:rsidR="00BA5652">
        <w:rPr>
          <w:rFonts w:hint="cs"/>
          <w:rtl/>
        </w:rPr>
        <w:t xml:space="preserve">. </w:t>
      </w:r>
      <w:r w:rsidR="00A75F8F">
        <w:rPr>
          <w:rFonts w:hint="cs"/>
          <w:rtl/>
        </w:rPr>
        <w:t xml:space="preserve"> ו</w:t>
      </w:r>
      <w:r w:rsidR="00BA5652">
        <w:rPr>
          <w:rFonts w:hint="cs"/>
          <w:rtl/>
        </w:rPr>
        <w:t xml:space="preserve">כל סוגיה כזו </w:t>
      </w:r>
      <w:r w:rsidR="00A75F8F">
        <w:rPr>
          <w:rFonts w:hint="cs"/>
          <w:rtl/>
        </w:rPr>
        <w:t xml:space="preserve">זוכה לטיפול מעמיק שניתן למצוא בו קווים </w:t>
      </w:r>
      <w:r w:rsidR="00BA5652">
        <w:rPr>
          <w:rFonts w:hint="cs"/>
          <w:rtl/>
        </w:rPr>
        <w:t>ה</w:t>
      </w:r>
      <w:r w:rsidR="00A75F8F">
        <w:rPr>
          <w:rFonts w:hint="cs"/>
          <w:rtl/>
        </w:rPr>
        <w:t xml:space="preserve">מובילים כמעט לכל הוגה </w:t>
      </w:r>
      <w:r w:rsidR="00BA5652">
        <w:rPr>
          <w:rFonts w:hint="cs"/>
          <w:rtl/>
        </w:rPr>
        <w:t xml:space="preserve">או עמדה פילוסופית </w:t>
      </w:r>
      <w:r w:rsidR="00A75F8F">
        <w:rPr>
          <w:rFonts w:hint="cs"/>
          <w:rtl/>
        </w:rPr>
        <w:t>במסורת המערבית עד ימינו.</w:t>
      </w:r>
      <w:r w:rsidR="00BE2D8F">
        <w:rPr>
          <w:rFonts w:hint="cs"/>
          <w:rtl/>
        </w:rPr>
        <w:t xml:space="preserve"> </w:t>
      </w:r>
    </w:p>
    <w:p w:rsidR="00BE2D8F" w:rsidRDefault="00BE2D8F" w:rsidP="00BA5652">
      <w:pPr>
        <w:pStyle w:val="ListParagraph"/>
        <w:numPr>
          <w:ilvl w:val="0"/>
          <w:numId w:val="3"/>
        </w:numPr>
        <w:bidi/>
        <w:jc w:val="both"/>
        <w:rPr>
          <w:rtl/>
        </w:rPr>
      </w:pPr>
      <w:r>
        <w:rPr>
          <w:rFonts w:hint="cs"/>
          <w:rtl/>
        </w:rPr>
        <w:t xml:space="preserve">לבסוף, </w:t>
      </w:r>
      <w:r w:rsidR="004B043F">
        <w:rPr>
          <w:rFonts w:hint="cs"/>
          <w:rtl/>
        </w:rPr>
        <w:t xml:space="preserve">כתבי </w:t>
      </w:r>
      <w:r>
        <w:rPr>
          <w:rFonts w:hint="cs"/>
          <w:rtl/>
        </w:rPr>
        <w:t xml:space="preserve">אפלטון </w:t>
      </w:r>
      <w:r w:rsidR="00C961BA">
        <w:rPr>
          <w:rFonts w:hint="cs"/>
          <w:rtl/>
        </w:rPr>
        <w:t xml:space="preserve">הרבה יותר </w:t>
      </w:r>
      <w:r>
        <w:rPr>
          <w:rFonts w:hint="cs"/>
          <w:rtl/>
        </w:rPr>
        <w:t>מורכב</w:t>
      </w:r>
      <w:r w:rsidR="004B043F">
        <w:rPr>
          <w:rFonts w:hint="cs"/>
          <w:rtl/>
        </w:rPr>
        <w:t>ים</w:t>
      </w:r>
      <w:r>
        <w:rPr>
          <w:rFonts w:hint="cs"/>
          <w:rtl/>
        </w:rPr>
        <w:t xml:space="preserve"> מ</w:t>
      </w:r>
      <w:r w:rsidR="004B043F">
        <w:rPr>
          <w:rFonts w:hint="cs"/>
          <w:rtl/>
        </w:rPr>
        <w:t xml:space="preserve">כל מה </w:t>
      </w:r>
      <w:r>
        <w:rPr>
          <w:rFonts w:hint="cs"/>
          <w:rtl/>
        </w:rPr>
        <w:t>שקראתם עד כה, וגם מכל מאמר או מסה</w:t>
      </w:r>
      <w:r w:rsidR="00A75F8F">
        <w:rPr>
          <w:rFonts w:hint="cs"/>
          <w:rtl/>
        </w:rPr>
        <w:t xml:space="preserve"> </w:t>
      </w:r>
      <w:r>
        <w:rPr>
          <w:rFonts w:hint="cs"/>
          <w:rtl/>
        </w:rPr>
        <w:t xml:space="preserve">פילוסופית </w:t>
      </w:r>
      <w:r w:rsidR="00BA5652">
        <w:rPr>
          <w:rFonts w:hint="cs"/>
          <w:rtl/>
        </w:rPr>
        <w:t>רגילה</w:t>
      </w:r>
      <w:r w:rsidR="004B043F">
        <w:rPr>
          <w:rFonts w:hint="cs"/>
          <w:rtl/>
        </w:rPr>
        <w:t xml:space="preserve"> </w:t>
      </w:r>
      <w:r>
        <w:rPr>
          <w:rtl/>
        </w:rPr>
        <w:t>–</w:t>
      </w:r>
      <w:r>
        <w:rPr>
          <w:rFonts w:hint="cs"/>
          <w:rtl/>
        </w:rPr>
        <w:t xml:space="preserve"> וזה דווקא קשור </w:t>
      </w:r>
      <w:r w:rsidR="00BA5652">
        <w:rPr>
          <w:rFonts w:hint="cs"/>
          <w:b/>
          <w:bCs/>
          <w:rtl/>
        </w:rPr>
        <w:t xml:space="preserve">לסוגה הספרותית </w:t>
      </w:r>
      <w:r>
        <w:rPr>
          <w:rFonts w:hint="cs"/>
          <w:rtl/>
        </w:rPr>
        <w:t>ב</w:t>
      </w:r>
      <w:r w:rsidR="00BA5652">
        <w:rPr>
          <w:rFonts w:hint="cs"/>
          <w:rtl/>
        </w:rPr>
        <w:t>ה</w:t>
      </w:r>
      <w:r>
        <w:rPr>
          <w:rFonts w:hint="cs"/>
          <w:rtl/>
        </w:rPr>
        <w:t xml:space="preserve"> </w:t>
      </w:r>
      <w:r w:rsidR="00BA5652">
        <w:rPr>
          <w:rFonts w:hint="cs"/>
          <w:rtl/>
        </w:rPr>
        <w:t xml:space="preserve">הוא </w:t>
      </w:r>
      <w:r>
        <w:rPr>
          <w:rFonts w:hint="cs"/>
          <w:rtl/>
        </w:rPr>
        <w:t>בחר</w:t>
      </w:r>
      <w:r w:rsidR="004B043F">
        <w:rPr>
          <w:rFonts w:hint="cs"/>
          <w:rtl/>
        </w:rPr>
        <w:t>: ה</w:t>
      </w:r>
      <w:r w:rsidR="00BA5652">
        <w:rPr>
          <w:rFonts w:hint="cs"/>
          <w:rtl/>
        </w:rPr>
        <w:t>דיאלוג</w:t>
      </w:r>
      <w:r>
        <w:rPr>
          <w:rFonts w:hint="cs"/>
          <w:rtl/>
        </w:rPr>
        <w:t>.</w:t>
      </w:r>
    </w:p>
    <w:p w:rsidR="00BE2D8F" w:rsidRDefault="00BE2D8F" w:rsidP="007F7596">
      <w:pPr>
        <w:bidi/>
        <w:jc w:val="both"/>
        <w:rPr>
          <w:rtl/>
        </w:rPr>
      </w:pPr>
      <w:r w:rsidRPr="00F57FB0">
        <w:rPr>
          <w:rFonts w:hint="cs"/>
          <w:b/>
          <w:bCs/>
          <w:rtl/>
        </w:rPr>
        <w:t>הדיאלוגים</w:t>
      </w:r>
      <w:r w:rsidR="0099228C" w:rsidRPr="00F57FB0">
        <w:rPr>
          <w:rFonts w:hint="cs"/>
          <w:b/>
          <w:bCs/>
          <w:rtl/>
        </w:rPr>
        <w:t xml:space="preserve"> האפלטוניים</w:t>
      </w:r>
      <w:r w:rsidR="0099228C">
        <w:rPr>
          <w:rFonts w:hint="cs"/>
          <w:rtl/>
        </w:rPr>
        <w:t xml:space="preserve"> שנקרא </w:t>
      </w:r>
      <w:r w:rsidR="00AA4B37">
        <w:rPr>
          <w:rFonts w:hint="cs"/>
          <w:rtl/>
        </w:rPr>
        <w:t xml:space="preserve">ביחד </w:t>
      </w:r>
      <w:r w:rsidR="0099228C">
        <w:rPr>
          <w:rFonts w:hint="cs"/>
          <w:rtl/>
        </w:rPr>
        <w:t xml:space="preserve">הם מחזות לכל דבר: עם תפאורה, עלילה, דמויות, </w:t>
      </w:r>
      <w:proofErr w:type="spellStart"/>
      <w:r w:rsidR="007F7596">
        <w:rPr>
          <w:rFonts w:hint="cs"/>
          <w:rtl/>
        </w:rPr>
        <w:t>וכו</w:t>
      </w:r>
      <w:proofErr w:type="spellEnd"/>
      <w:r w:rsidR="007F7596">
        <w:rPr>
          <w:rFonts w:hint="cs"/>
          <w:rtl/>
        </w:rPr>
        <w:t xml:space="preserve">'. כל המרכיבים האלה הם </w:t>
      </w:r>
      <w:r w:rsidR="007F7596" w:rsidRPr="007F7596">
        <w:rPr>
          <w:rFonts w:hint="cs"/>
          <w:b/>
          <w:bCs/>
          <w:rtl/>
        </w:rPr>
        <w:t>קריטיים</w:t>
      </w:r>
      <w:r w:rsidR="007F7596">
        <w:rPr>
          <w:rFonts w:hint="cs"/>
          <w:rtl/>
        </w:rPr>
        <w:t xml:space="preserve"> להבנת אופן ההתפלספות האפלטונית. מי שינסה לקרוא את הדיאלוגים האפלטוניים תוך התעלמות מכל המרכיבים הספרותיים</w:t>
      </w:r>
      <w:r w:rsidR="007A4D7C">
        <w:rPr>
          <w:rFonts w:hint="cs"/>
          <w:rtl/>
        </w:rPr>
        <w:t>,</w:t>
      </w:r>
      <w:r w:rsidR="007F7596">
        <w:rPr>
          <w:rFonts w:hint="cs"/>
          <w:rtl/>
        </w:rPr>
        <w:t xml:space="preserve"> משל היו הדמויות </w:t>
      </w:r>
      <w:r w:rsidR="007A4D7C">
        <w:rPr>
          <w:rFonts w:hint="cs"/>
          <w:rtl/>
        </w:rPr>
        <w:t xml:space="preserve">העלילה </w:t>
      </w:r>
      <w:r w:rsidR="007F7596">
        <w:rPr>
          <w:rFonts w:hint="cs"/>
          <w:rtl/>
        </w:rPr>
        <w:t>והתפאורה סתם תוספות לשם נוי, בעוד שהתוכן האמתי זה "הטיעון" הלוגי-פורמלי שאותו צריך לחלץ מתוך כל הפסולת האומנותית</w:t>
      </w:r>
      <w:r w:rsidR="00EA6699">
        <w:rPr>
          <w:rFonts w:hint="cs"/>
          <w:rtl/>
        </w:rPr>
        <w:t>,</w:t>
      </w:r>
      <w:r w:rsidR="007F7596">
        <w:rPr>
          <w:rFonts w:hint="cs"/>
          <w:rtl/>
        </w:rPr>
        <w:t xml:space="preserve"> קורא כזה יפספס לחלוטין את מה שאפלטון מנסה </w:t>
      </w:r>
      <w:r w:rsidR="00EA6699">
        <w:rPr>
          <w:rFonts w:hint="cs"/>
          <w:rtl/>
        </w:rPr>
        <w:t>לומר</w:t>
      </w:r>
      <w:r w:rsidR="007F7596">
        <w:rPr>
          <w:rFonts w:hint="cs"/>
          <w:rtl/>
        </w:rPr>
        <w:t xml:space="preserve">. בכל דיאלוג אפלטוני, כל טיעון פילוסופי מופיע </w:t>
      </w:r>
      <w:r w:rsidR="00EA6699">
        <w:rPr>
          <w:rFonts w:hint="cs"/>
          <w:rtl/>
        </w:rPr>
        <w:t xml:space="preserve">ככזה </w:t>
      </w:r>
      <w:r w:rsidR="007F7596">
        <w:rPr>
          <w:rFonts w:hint="cs"/>
          <w:rtl/>
        </w:rPr>
        <w:t>שמישהו מסוים אומר למישהו מסוים</w:t>
      </w:r>
      <w:r w:rsidR="00EA6699">
        <w:rPr>
          <w:rFonts w:hint="cs"/>
          <w:rtl/>
        </w:rPr>
        <w:t>,</w:t>
      </w:r>
      <w:r w:rsidR="007F7596">
        <w:rPr>
          <w:rFonts w:hint="cs"/>
          <w:rtl/>
        </w:rPr>
        <w:t xml:space="preserve"> בעל אופי ורקע מסוים, בנסיבות מסוימות, כדי להשיג מטרה מסוימת.  התהליך הפרשני צריך להתחיל משם. וכמובן שאי אפשר להתעלם מהעובדה שבכל הדיאלוגים שתקראו בקורס הזה, כולל הדיאלוג הנוכחי, ה</w:t>
      </w:r>
      <w:r>
        <w:rPr>
          <w:rFonts w:hint="cs"/>
          <w:rtl/>
        </w:rPr>
        <w:t xml:space="preserve">דמות המרכזית </w:t>
      </w:r>
      <w:r w:rsidR="007F7596">
        <w:rPr>
          <w:rFonts w:hint="cs"/>
          <w:rtl/>
        </w:rPr>
        <w:t>היא לא אחר</w:t>
      </w:r>
      <w:r w:rsidR="003A67D9">
        <w:rPr>
          <w:rFonts w:hint="cs"/>
          <w:rtl/>
        </w:rPr>
        <w:t>ת</w:t>
      </w:r>
      <w:r w:rsidR="007F7596">
        <w:rPr>
          <w:rFonts w:hint="cs"/>
          <w:rtl/>
        </w:rPr>
        <w:t xml:space="preserve"> ממורו האהוב של אפלטון, </w:t>
      </w:r>
      <w:proofErr w:type="spellStart"/>
      <w:r w:rsidR="007F7596">
        <w:rPr>
          <w:rFonts w:hint="cs"/>
          <w:rtl/>
        </w:rPr>
        <w:t>סוקראטס</w:t>
      </w:r>
      <w:proofErr w:type="spellEnd"/>
      <w:r w:rsidR="007F7596">
        <w:rPr>
          <w:rFonts w:hint="cs"/>
          <w:rtl/>
        </w:rPr>
        <w:t xml:space="preserve"> (</w:t>
      </w:r>
      <w:r w:rsidR="00ED70BE">
        <w:rPr>
          <w:rFonts w:hint="cs"/>
          <w:rtl/>
        </w:rPr>
        <w:t xml:space="preserve">469-399 </w:t>
      </w:r>
      <w:proofErr w:type="spellStart"/>
      <w:r w:rsidR="00ED70BE">
        <w:rPr>
          <w:rFonts w:hint="cs"/>
          <w:rtl/>
        </w:rPr>
        <w:t>לפניה"ס</w:t>
      </w:r>
      <w:proofErr w:type="spellEnd"/>
      <w:r w:rsidR="00ED70BE">
        <w:rPr>
          <w:rFonts w:hint="cs"/>
          <w:rtl/>
        </w:rPr>
        <w:t>)</w:t>
      </w:r>
      <w:r w:rsidR="007F7596">
        <w:rPr>
          <w:rFonts w:hint="cs"/>
          <w:rtl/>
        </w:rPr>
        <w:t>, ועליו צריך לומר כמה מילים לסיום.</w:t>
      </w:r>
      <w:r>
        <w:rPr>
          <w:rFonts w:hint="cs"/>
          <w:rtl/>
        </w:rPr>
        <w:t xml:space="preserve"> </w:t>
      </w:r>
    </w:p>
    <w:p w:rsidR="00BE2D8F" w:rsidRDefault="00BE2D8F" w:rsidP="00BE2D8F">
      <w:pPr>
        <w:bidi/>
        <w:jc w:val="both"/>
        <w:rPr>
          <w:rtl/>
        </w:rPr>
      </w:pPr>
      <w:proofErr w:type="spellStart"/>
      <w:r w:rsidRPr="00F57FB0">
        <w:rPr>
          <w:rFonts w:hint="cs"/>
          <w:b/>
          <w:bCs/>
          <w:rtl/>
        </w:rPr>
        <w:t>סוקראטס</w:t>
      </w:r>
      <w:proofErr w:type="spellEnd"/>
      <w:r>
        <w:rPr>
          <w:rFonts w:hint="cs"/>
          <w:rtl/>
        </w:rPr>
        <w:t xml:space="preserve"> </w:t>
      </w:r>
      <w:r w:rsidR="00ED70BE">
        <w:rPr>
          <w:rFonts w:hint="cs"/>
          <w:rtl/>
        </w:rPr>
        <w:t xml:space="preserve">הוא כמובן דמות היסטורית לכל דבר וענין </w:t>
      </w:r>
      <w:r w:rsidR="00ED70BE">
        <w:rPr>
          <w:rtl/>
        </w:rPr>
        <w:t>–</w:t>
      </w:r>
      <w:r w:rsidR="00ED70BE">
        <w:rPr>
          <w:rFonts w:hint="cs"/>
          <w:rtl/>
        </w:rPr>
        <w:t xml:space="preserve"> על כך אין </w:t>
      </w:r>
      <w:r w:rsidR="004A35BE">
        <w:rPr>
          <w:rFonts w:hint="cs"/>
          <w:rtl/>
        </w:rPr>
        <w:t xml:space="preserve">כל </w:t>
      </w:r>
      <w:r w:rsidR="00ED70BE">
        <w:rPr>
          <w:rFonts w:hint="cs"/>
          <w:rtl/>
        </w:rPr>
        <w:t xml:space="preserve">ספק.  אבל </w:t>
      </w:r>
      <w:proofErr w:type="spellStart"/>
      <w:r w:rsidR="00ED70BE">
        <w:rPr>
          <w:rFonts w:hint="cs"/>
          <w:rtl/>
        </w:rPr>
        <w:t>הסוקראטס</w:t>
      </w:r>
      <w:proofErr w:type="spellEnd"/>
      <w:r w:rsidR="00ED70BE">
        <w:rPr>
          <w:rFonts w:hint="cs"/>
          <w:rtl/>
        </w:rPr>
        <w:t xml:space="preserve"> שמופיע בדיאלוגים שנקרא הוא דמות ספרותית פרי יציר</w:t>
      </w:r>
      <w:r w:rsidR="00065D04">
        <w:rPr>
          <w:rFonts w:hint="cs"/>
          <w:rtl/>
        </w:rPr>
        <w:t>ת</w:t>
      </w:r>
      <w:r w:rsidR="00ED70BE">
        <w:rPr>
          <w:rFonts w:hint="cs"/>
          <w:rtl/>
        </w:rPr>
        <w:t xml:space="preserve"> אפלטון</w:t>
      </w:r>
      <w:r w:rsidR="00065D04">
        <w:rPr>
          <w:rFonts w:hint="cs"/>
          <w:rtl/>
        </w:rPr>
        <w:t>.</w:t>
      </w:r>
      <w:r w:rsidR="004A35BE">
        <w:rPr>
          <w:rFonts w:hint="cs"/>
          <w:rtl/>
        </w:rPr>
        <w:t xml:space="preserve"> נוהגים לכנותו "</w:t>
      </w:r>
      <w:proofErr w:type="spellStart"/>
      <w:r w:rsidR="004A35BE">
        <w:rPr>
          <w:rFonts w:hint="cs"/>
          <w:rtl/>
        </w:rPr>
        <w:t>הסוקראטס</w:t>
      </w:r>
      <w:proofErr w:type="spellEnd"/>
      <w:r w:rsidR="004A35BE">
        <w:rPr>
          <w:rFonts w:hint="cs"/>
          <w:rtl/>
        </w:rPr>
        <w:t xml:space="preserve"> האפלטוני"</w:t>
      </w:r>
      <w:r w:rsidR="00065D04">
        <w:rPr>
          <w:rFonts w:hint="cs"/>
          <w:rtl/>
        </w:rPr>
        <w:t>,</w:t>
      </w:r>
      <w:r w:rsidR="00ED70BE">
        <w:rPr>
          <w:rFonts w:hint="cs"/>
          <w:rtl/>
        </w:rPr>
        <w:t xml:space="preserve"> </w:t>
      </w:r>
      <w:r w:rsidR="004A35BE">
        <w:rPr>
          <w:rFonts w:hint="cs"/>
          <w:rtl/>
        </w:rPr>
        <w:t>מכיוון ש</w:t>
      </w:r>
      <w:r w:rsidR="00ED70BE">
        <w:rPr>
          <w:rFonts w:hint="cs"/>
          <w:rtl/>
        </w:rPr>
        <w:t xml:space="preserve">הקשר בין הדמות הספרותית לבין האדם ההיסטורי </w:t>
      </w:r>
      <w:r w:rsidR="004A35BE">
        <w:rPr>
          <w:rFonts w:hint="cs"/>
          <w:rtl/>
        </w:rPr>
        <w:t>(</w:t>
      </w:r>
      <w:r w:rsidR="00ED70BE">
        <w:rPr>
          <w:rFonts w:hint="cs"/>
          <w:rtl/>
        </w:rPr>
        <w:t xml:space="preserve">מורה של אפלטון, </w:t>
      </w:r>
      <w:r w:rsidR="004A35BE">
        <w:rPr>
          <w:rFonts w:hint="cs"/>
          <w:rtl/>
        </w:rPr>
        <w:t>אזרח אתונאי מפורסם עוד בחייו</w:t>
      </w:r>
      <w:r w:rsidR="00ED70BE">
        <w:rPr>
          <w:rFonts w:hint="cs"/>
          <w:rtl/>
        </w:rPr>
        <w:t xml:space="preserve">, </w:t>
      </w:r>
      <w:r w:rsidR="004A35BE">
        <w:rPr>
          <w:rFonts w:hint="cs"/>
          <w:rtl/>
        </w:rPr>
        <w:t>מי ש</w:t>
      </w:r>
      <w:r w:rsidR="00ED70BE">
        <w:rPr>
          <w:rFonts w:hint="cs"/>
          <w:rtl/>
        </w:rPr>
        <w:t xml:space="preserve">הוצא להורג ע"י האיר אתונה, </w:t>
      </w:r>
      <w:r w:rsidR="00065D04">
        <w:rPr>
          <w:rFonts w:hint="cs"/>
          <w:rtl/>
        </w:rPr>
        <w:t>בגין הרשעה ב</w:t>
      </w:r>
      <w:r w:rsidR="00ED70BE">
        <w:rPr>
          <w:rFonts w:hint="cs"/>
          <w:rtl/>
        </w:rPr>
        <w:t>סעיפי אישום חמורים</w:t>
      </w:r>
      <w:r w:rsidR="004A35BE">
        <w:rPr>
          <w:rFonts w:hint="cs"/>
          <w:rtl/>
        </w:rPr>
        <w:t>)</w:t>
      </w:r>
      <w:r>
        <w:rPr>
          <w:rFonts w:hint="cs"/>
          <w:rtl/>
        </w:rPr>
        <w:t xml:space="preserve"> </w:t>
      </w:r>
      <w:r w:rsidR="00ED70BE">
        <w:rPr>
          <w:rFonts w:hint="cs"/>
          <w:rtl/>
        </w:rPr>
        <w:t xml:space="preserve">אינו מעניינינו.  קשר בין השניים בוודאי יש, אבל אנחנו נתמקד בדמות הספרותית ובמה שאפלטון מנסה לעשות </w:t>
      </w:r>
      <w:proofErr w:type="spellStart"/>
      <w:r w:rsidR="006C6BFF">
        <w:rPr>
          <w:rFonts w:hint="cs"/>
          <w:rtl/>
        </w:rPr>
        <w:t>איתה</w:t>
      </w:r>
      <w:proofErr w:type="spellEnd"/>
      <w:r w:rsidR="006C6BFF">
        <w:rPr>
          <w:rFonts w:hint="cs"/>
          <w:rtl/>
        </w:rPr>
        <w:t xml:space="preserve"> </w:t>
      </w:r>
      <w:r w:rsidR="004A35BE">
        <w:rPr>
          <w:rFonts w:hint="cs"/>
          <w:rtl/>
        </w:rPr>
        <w:t xml:space="preserve">(בנוסף </w:t>
      </w:r>
      <w:r w:rsidR="006C6BFF">
        <w:rPr>
          <w:rFonts w:hint="cs"/>
          <w:rtl/>
        </w:rPr>
        <w:t xml:space="preserve">יש </w:t>
      </w:r>
      <w:r w:rsidR="004A35BE">
        <w:rPr>
          <w:rFonts w:hint="cs"/>
          <w:rtl/>
        </w:rPr>
        <w:t xml:space="preserve">לזכור </w:t>
      </w:r>
      <w:r w:rsidR="004A35BE">
        <w:rPr>
          <w:rFonts w:hint="cs"/>
          <w:rtl/>
        </w:rPr>
        <w:t>ש</w:t>
      </w:r>
      <w:r w:rsidR="004A35BE">
        <w:rPr>
          <w:rFonts w:hint="cs"/>
          <w:rtl/>
        </w:rPr>
        <w:t>היו</w:t>
      </w:r>
      <w:r w:rsidR="004A35BE">
        <w:rPr>
          <w:rFonts w:hint="cs"/>
          <w:rtl/>
        </w:rPr>
        <w:t xml:space="preserve"> תלמידים אחרים </w:t>
      </w:r>
      <w:r w:rsidR="004A35BE">
        <w:rPr>
          <w:rFonts w:hint="cs"/>
          <w:rtl/>
        </w:rPr>
        <w:t xml:space="preserve">של </w:t>
      </w:r>
      <w:proofErr w:type="spellStart"/>
      <w:r w:rsidR="004A35BE">
        <w:rPr>
          <w:rFonts w:hint="cs"/>
          <w:rtl/>
        </w:rPr>
        <w:t>סוקראטס</w:t>
      </w:r>
      <w:proofErr w:type="spellEnd"/>
      <w:r w:rsidR="004A35BE">
        <w:rPr>
          <w:rFonts w:hint="cs"/>
          <w:rtl/>
        </w:rPr>
        <w:t xml:space="preserve"> </w:t>
      </w:r>
      <w:r w:rsidR="00214892">
        <w:rPr>
          <w:rFonts w:hint="cs"/>
          <w:rtl/>
        </w:rPr>
        <w:t>שכתבו עליו</w:t>
      </w:r>
      <w:r w:rsidR="004A35BE">
        <w:rPr>
          <w:rFonts w:hint="cs"/>
          <w:rtl/>
        </w:rPr>
        <w:t xml:space="preserve">, אך </w:t>
      </w:r>
      <w:proofErr w:type="spellStart"/>
      <w:r w:rsidR="004A35BE">
        <w:rPr>
          <w:rFonts w:hint="cs"/>
          <w:rtl/>
        </w:rPr>
        <w:t>הסוקראטס</w:t>
      </w:r>
      <w:proofErr w:type="spellEnd"/>
      <w:r w:rsidR="004A35BE">
        <w:rPr>
          <w:rFonts w:hint="cs"/>
          <w:rtl/>
        </w:rPr>
        <w:t xml:space="preserve"> שלהם לא תמיד תואם את זה של אפלטון</w:t>
      </w:r>
      <w:r w:rsidR="004A35BE">
        <w:rPr>
          <w:rFonts w:hint="cs"/>
          <w:rtl/>
        </w:rPr>
        <w:t>)</w:t>
      </w:r>
      <w:r w:rsidR="00ED70BE">
        <w:rPr>
          <w:rFonts w:hint="cs"/>
          <w:rtl/>
        </w:rPr>
        <w:t xml:space="preserve">.  </w:t>
      </w:r>
      <w:r w:rsidR="004A35BE">
        <w:rPr>
          <w:rFonts w:hint="cs"/>
          <w:rtl/>
        </w:rPr>
        <w:t xml:space="preserve">אנחנו, עם כן, מתמקדים </w:t>
      </w:r>
      <w:proofErr w:type="spellStart"/>
      <w:r w:rsidR="004A35BE">
        <w:rPr>
          <w:rFonts w:hint="cs"/>
          <w:rtl/>
        </w:rPr>
        <w:t>בסוקראטס</w:t>
      </w:r>
      <w:proofErr w:type="spellEnd"/>
      <w:r w:rsidR="004A35BE">
        <w:rPr>
          <w:rFonts w:hint="cs"/>
          <w:rtl/>
        </w:rPr>
        <w:t xml:space="preserve"> האפלטוני </w:t>
      </w:r>
      <w:r w:rsidR="00ED70BE">
        <w:rPr>
          <w:rFonts w:hint="cs"/>
          <w:rtl/>
        </w:rPr>
        <w:t xml:space="preserve">גם בדיאלוג הנוכחי, שכותרתו </w:t>
      </w:r>
      <w:r w:rsidR="00ED70BE" w:rsidRPr="00214892">
        <w:rPr>
          <w:rFonts w:hint="cs"/>
          <w:i/>
          <w:iCs/>
          <w:rtl/>
        </w:rPr>
        <w:t xml:space="preserve">האפולוגיה של </w:t>
      </w:r>
      <w:proofErr w:type="spellStart"/>
      <w:r w:rsidR="00ED70BE" w:rsidRPr="00214892">
        <w:rPr>
          <w:rFonts w:hint="cs"/>
          <w:i/>
          <w:iCs/>
          <w:rtl/>
        </w:rPr>
        <w:t>סוקראטס</w:t>
      </w:r>
      <w:proofErr w:type="spellEnd"/>
      <w:r w:rsidR="00ED70BE">
        <w:rPr>
          <w:rFonts w:hint="cs"/>
          <w:rtl/>
        </w:rPr>
        <w:t xml:space="preserve">.  </w:t>
      </w:r>
      <w:r w:rsidR="00ED70BE" w:rsidRPr="004A35BE">
        <w:rPr>
          <w:rFonts w:hint="cs"/>
          <w:i/>
          <w:iCs/>
          <w:rtl/>
        </w:rPr>
        <w:t>אפולוגיה</w:t>
      </w:r>
      <w:r w:rsidR="00ED70BE">
        <w:rPr>
          <w:rFonts w:hint="cs"/>
          <w:rtl/>
        </w:rPr>
        <w:t xml:space="preserve"> </w:t>
      </w:r>
      <w:r w:rsidR="004A35BE">
        <w:rPr>
          <w:rFonts w:hint="cs"/>
          <w:rtl/>
        </w:rPr>
        <w:t xml:space="preserve">פירושה </w:t>
      </w:r>
      <w:r w:rsidR="00ED70BE">
        <w:rPr>
          <w:rFonts w:hint="cs"/>
          <w:rtl/>
        </w:rPr>
        <w:t>נאום הגנה</w:t>
      </w:r>
      <w:r w:rsidR="004A35BE">
        <w:rPr>
          <w:rFonts w:hint="cs"/>
          <w:rtl/>
        </w:rPr>
        <w:t xml:space="preserve"> </w:t>
      </w:r>
      <w:r w:rsidR="00660ECE">
        <w:rPr>
          <w:rtl/>
        </w:rPr>
        <w:t>–</w:t>
      </w:r>
      <w:r w:rsidR="00ED70BE">
        <w:rPr>
          <w:rFonts w:hint="cs"/>
          <w:rtl/>
        </w:rPr>
        <w:t xml:space="preserve"> היינו</w:t>
      </w:r>
      <w:r w:rsidR="00660ECE">
        <w:rPr>
          <w:rFonts w:hint="cs"/>
          <w:rtl/>
        </w:rPr>
        <w:t>,</w:t>
      </w:r>
      <w:r w:rsidR="00ED70BE">
        <w:rPr>
          <w:rFonts w:hint="cs"/>
          <w:rtl/>
        </w:rPr>
        <w:t xml:space="preserve"> נאום סניגוריה בבית משפט</w:t>
      </w:r>
      <w:r w:rsidR="004A35BE">
        <w:rPr>
          <w:rFonts w:hint="cs"/>
          <w:rtl/>
        </w:rPr>
        <w:t>,</w:t>
      </w:r>
      <w:r w:rsidR="00ED70BE">
        <w:rPr>
          <w:rFonts w:hint="cs"/>
          <w:rtl/>
        </w:rPr>
        <w:t xml:space="preserve"> </w:t>
      </w:r>
      <w:r w:rsidR="004A35BE">
        <w:rPr>
          <w:rFonts w:hint="cs"/>
          <w:rtl/>
        </w:rPr>
        <w:t>ש</w:t>
      </w:r>
      <w:r w:rsidR="00ED70BE">
        <w:rPr>
          <w:rFonts w:hint="cs"/>
          <w:rtl/>
        </w:rPr>
        <w:t xml:space="preserve">בא להסביר את מעשיו של </w:t>
      </w:r>
      <w:r w:rsidR="004A35BE">
        <w:rPr>
          <w:rFonts w:hint="cs"/>
          <w:rtl/>
        </w:rPr>
        <w:t xml:space="preserve">הנאשם </w:t>
      </w:r>
      <w:r w:rsidR="00ED70BE">
        <w:rPr>
          <w:rFonts w:hint="cs"/>
          <w:rtl/>
        </w:rPr>
        <w:t>ו</w:t>
      </w:r>
      <w:r w:rsidR="004A35BE">
        <w:rPr>
          <w:rFonts w:hint="cs"/>
          <w:rtl/>
        </w:rPr>
        <w:t>ל</w:t>
      </w:r>
      <w:r w:rsidR="00ED70BE">
        <w:rPr>
          <w:rFonts w:hint="cs"/>
          <w:rtl/>
        </w:rPr>
        <w:t xml:space="preserve">הדוף את </w:t>
      </w:r>
      <w:r w:rsidR="004A35BE">
        <w:rPr>
          <w:rFonts w:hint="cs"/>
          <w:rtl/>
        </w:rPr>
        <w:t>טענות המקטרגים עליו</w:t>
      </w:r>
      <w:r w:rsidR="00ED70BE">
        <w:rPr>
          <w:rFonts w:hint="cs"/>
          <w:rtl/>
        </w:rPr>
        <w:t xml:space="preserve">. בדיאלוג הזה מוצג נאום ההגנה שנשא </w:t>
      </w:r>
      <w:proofErr w:type="spellStart"/>
      <w:r w:rsidR="00ED70BE">
        <w:rPr>
          <w:rFonts w:hint="cs"/>
          <w:rtl/>
        </w:rPr>
        <w:t>סוקראטס</w:t>
      </w:r>
      <w:proofErr w:type="spellEnd"/>
      <w:r w:rsidR="00ED70BE">
        <w:rPr>
          <w:rFonts w:hint="cs"/>
          <w:rtl/>
        </w:rPr>
        <w:t xml:space="preserve"> במשפטו המפורסם </w:t>
      </w:r>
      <w:r w:rsidR="00ED70BE">
        <w:rPr>
          <w:rtl/>
        </w:rPr>
        <w:t>–</w:t>
      </w:r>
      <w:r w:rsidR="00ED70BE">
        <w:rPr>
          <w:rFonts w:hint="cs"/>
          <w:rtl/>
        </w:rPr>
        <w:t xml:space="preserve"> או לפחות </w:t>
      </w:r>
      <w:r w:rsidR="00BC293B">
        <w:rPr>
          <w:rFonts w:hint="cs"/>
          <w:rtl/>
        </w:rPr>
        <w:t>ה</w:t>
      </w:r>
      <w:r w:rsidR="00ED70BE">
        <w:rPr>
          <w:rFonts w:hint="cs"/>
          <w:rtl/>
        </w:rPr>
        <w:t xml:space="preserve">נאום כפי שאפלטון רוצה להעביר אותו מסיבותיו הפילוסופיות. הדיאלוג מוצג כאילו נכתב ע"י קצרנית בית המשפט </w:t>
      </w:r>
      <w:r w:rsidR="009C5A35">
        <w:rPr>
          <w:rFonts w:hint="cs"/>
          <w:rtl/>
        </w:rPr>
        <w:t xml:space="preserve">שצופה באירועים </w:t>
      </w:r>
      <w:r w:rsidR="00ED70BE">
        <w:rPr>
          <w:rtl/>
        </w:rPr>
        <w:t>–</w:t>
      </w:r>
      <w:r w:rsidR="00ED70BE">
        <w:rPr>
          <w:rFonts w:hint="cs"/>
          <w:rtl/>
        </w:rPr>
        <w:t xml:space="preserve"> הדובר הכמעט יחיד </w:t>
      </w:r>
      <w:r w:rsidR="0050658B">
        <w:rPr>
          <w:rFonts w:hint="cs"/>
          <w:rtl/>
        </w:rPr>
        <w:t xml:space="preserve">הוא </w:t>
      </w:r>
      <w:proofErr w:type="spellStart"/>
      <w:r w:rsidR="0050658B">
        <w:rPr>
          <w:rFonts w:hint="cs"/>
          <w:rtl/>
        </w:rPr>
        <w:t>סוקראטס</w:t>
      </w:r>
      <w:proofErr w:type="spellEnd"/>
      <w:r w:rsidR="0050658B">
        <w:rPr>
          <w:rFonts w:hint="cs"/>
          <w:rtl/>
        </w:rPr>
        <w:t xml:space="preserve"> </w:t>
      </w:r>
      <w:r w:rsidR="0050658B">
        <w:rPr>
          <w:rFonts w:hint="cs"/>
          <w:rtl/>
        </w:rPr>
        <w:t>(פרט לקטעים קצרים בהם הוא חוקר בחקירה נגדית את אחד ממאשימיו)</w:t>
      </w:r>
      <w:r w:rsidR="00ED70BE">
        <w:rPr>
          <w:rFonts w:hint="cs"/>
          <w:rtl/>
        </w:rPr>
        <w:t>.</w:t>
      </w:r>
      <w:r w:rsidR="0050658B">
        <w:rPr>
          <w:rFonts w:hint="cs"/>
          <w:rtl/>
        </w:rPr>
        <w:t xml:space="preserve"> ומכאן השאלות ש</w:t>
      </w:r>
      <w:r w:rsidR="004A35BE">
        <w:rPr>
          <w:rFonts w:hint="cs"/>
          <w:rtl/>
        </w:rPr>
        <w:t xml:space="preserve">יש לתת עליהן את הדעת </w:t>
      </w:r>
      <w:r w:rsidR="0050658B">
        <w:rPr>
          <w:rFonts w:hint="cs"/>
          <w:rtl/>
        </w:rPr>
        <w:t>במהלך הקריאה:</w:t>
      </w:r>
    </w:p>
    <w:p w:rsidR="0050658B" w:rsidRDefault="0050658B" w:rsidP="0050658B">
      <w:pPr>
        <w:pStyle w:val="ListParagraph"/>
        <w:numPr>
          <w:ilvl w:val="0"/>
          <w:numId w:val="4"/>
        </w:numPr>
        <w:bidi/>
        <w:jc w:val="both"/>
      </w:pPr>
      <w:r>
        <w:rPr>
          <w:rFonts w:hint="cs"/>
          <w:rtl/>
        </w:rPr>
        <w:t xml:space="preserve">אם </w:t>
      </w:r>
      <w:proofErr w:type="spellStart"/>
      <w:r>
        <w:rPr>
          <w:rFonts w:hint="cs"/>
          <w:rtl/>
        </w:rPr>
        <w:t>סוקראטס</w:t>
      </w:r>
      <w:proofErr w:type="spellEnd"/>
      <w:r>
        <w:rPr>
          <w:rFonts w:hint="cs"/>
          <w:rtl/>
        </w:rPr>
        <w:t xml:space="preserve"> הוא הדובר היחיד כאן, באיזה מובן זה "דיאלוג" (</w:t>
      </w:r>
      <w:r w:rsidR="00A71A67">
        <w:rPr>
          <w:rFonts w:hint="cs"/>
          <w:rtl/>
        </w:rPr>
        <w:t>המילה היוונית ל"</w:t>
      </w:r>
      <w:r>
        <w:rPr>
          <w:rFonts w:hint="cs"/>
          <w:rtl/>
        </w:rPr>
        <w:t>דו-שיח</w:t>
      </w:r>
      <w:r w:rsidR="00A71A67">
        <w:rPr>
          <w:rFonts w:hint="cs"/>
          <w:rtl/>
        </w:rPr>
        <w:t>"</w:t>
      </w:r>
      <w:r>
        <w:rPr>
          <w:rFonts w:hint="cs"/>
          <w:rtl/>
        </w:rPr>
        <w:t xml:space="preserve">)?  אולי בכל זאת </w:t>
      </w:r>
      <w:r w:rsidR="00A71A67">
        <w:rPr>
          <w:rFonts w:hint="cs"/>
          <w:rtl/>
        </w:rPr>
        <w:t xml:space="preserve">ישנה </w:t>
      </w:r>
      <w:r>
        <w:rPr>
          <w:rFonts w:hint="cs"/>
          <w:rtl/>
        </w:rPr>
        <w:t>דמות נוספת</w:t>
      </w:r>
      <w:r w:rsidR="00A71A67">
        <w:rPr>
          <w:rFonts w:hint="cs"/>
          <w:rtl/>
        </w:rPr>
        <w:t>,</w:t>
      </w:r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איתה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סוקראטס</w:t>
      </w:r>
      <w:proofErr w:type="spellEnd"/>
      <w:r>
        <w:rPr>
          <w:rFonts w:hint="cs"/>
          <w:rtl/>
        </w:rPr>
        <w:t xml:space="preserve"> מנהל שיח?</w:t>
      </w:r>
    </w:p>
    <w:p w:rsidR="0050658B" w:rsidRDefault="004A35BE" w:rsidP="0050658B">
      <w:pPr>
        <w:pStyle w:val="ListParagraph"/>
        <w:numPr>
          <w:ilvl w:val="0"/>
          <w:numId w:val="4"/>
        </w:numPr>
        <w:bidi/>
        <w:jc w:val="both"/>
      </w:pPr>
      <w:r>
        <w:rPr>
          <w:rFonts w:hint="cs"/>
          <w:rtl/>
        </w:rPr>
        <w:t>איך התפאורה (הר</w:t>
      </w:r>
      <w:r w:rsidR="00A71A67">
        <w:rPr>
          <w:rFonts w:hint="cs"/>
          <w:rtl/>
        </w:rPr>
        <w:t>ק</w:t>
      </w:r>
      <w:r>
        <w:rPr>
          <w:rFonts w:hint="cs"/>
          <w:rtl/>
        </w:rPr>
        <w:t>ע לנאום, הנסיבות בהן הוא ניתן</w:t>
      </w:r>
      <w:r w:rsidR="00A71A67">
        <w:rPr>
          <w:rFonts w:hint="cs"/>
          <w:rtl/>
        </w:rPr>
        <w:t>,</w:t>
      </w:r>
      <w:r>
        <w:rPr>
          <w:rFonts w:hint="cs"/>
          <w:rtl/>
        </w:rPr>
        <w:t xml:space="preserve"> וכד') משפיע</w:t>
      </w:r>
      <w:r w:rsidR="00D232A0">
        <w:rPr>
          <w:rFonts w:hint="cs"/>
          <w:rtl/>
        </w:rPr>
        <w:t>ה</w:t>
      </w:r>
      <w:r>
        <w:rPr>
          <w:rFonts w:hint="cs"/>
          <w:rtl/>
        </w:rPr>
        <w:t xml:space="preserve"> על תוכ</w:t>
      </w:r>
      <w:r w:rsidR="00A84744">
        <w:rPr>
          <w:rFonts w:hint="cs"/>
          <w:rtl/>
        </w:rPr>
        <w:t>ן הנאום</w:t>
      </w:r>
      <w:r>
        <w:rPr>
          <w:rFonts w:hint="cs"/>
          <w:rtl/>
        </w:rPr>
        <w:t>?</w:t>
      </w:r>
    </w:p>
    <w:p w:rsidR="004A35BE" w:rsidRPr="00DD438A" w:rsidRDefault="004A35BE" w:rsidP="004A35BE">
      <w:pPr>
        <w:pStyle w:val="ListParagraph"/>
        <w:numPr>
          <w:ilvl w:val="0"/>
          <w:numId w:val="4"/>
        </w:numPr>
        <w:bidi/>
        <w:jc w:val="both"/>
      </w:pPr>
      <w:r>
        <w:rPr>
          <w:rFonts w:hint="cs"/>
          <w:rtl/>
        </w:rPr>
        <w:t>בהינתן שאפלטון לא עוסק כאן בקצרנות שמתעד</w:t>
      </w:r>
      <w:r w:rsidR="00D232A0">
        <w:rPr>
          <w:rFonts w:hint="cs"/>
          <w:rtl/>
        </w:rPr>
        <w:t>ת</w:t>
      </w:r>
      <w:r>
        <w:rPr>
          <w:rFonts w:hint="cs"/>
          <w:rtl/>
        </w:rPr>
        <w:t xml:space="preserve"> אירוע היסטורי, אלא בכתי</w:t>
      </w:r>
      <w:bookmarkStart w:id="0" w:name="_GoBack"/>
      <w:bookmarkEnd w:id="0"/>
      <w:r>
        <w:rPr>
          <w:rFonts w:hint="cs"/>
          <w:rtl/>
        </w:rPr>
        <w:t xml:space="preserve">בה פילוסופית </w:t>
      </w:r>
      <w:r w:rsidRPr="004A35BE">
        <w:rPr>
          <w:rFonts w:hint="cs"/>
          <w:b/>
          <w:bCs/>
          <w:rtl/>
        </w:rPr>
        <w:t>שעושה</w:t>
      </w:r>
      <w:r>
        <w:rPr>
          <w:rFonts w:hint="cs"/>
          <w:rtl/>
        </w:rPr>
        <w:t xml:space="preserve"> </w:t>
      </w:r>
      <w:r w:rsidRPr="004A35BE">
        <w:rPr>
          <w:rFonts w:hint="cs"/>
          <w:b/>
          <w:bCs/>
          <w:rtl/>
        </w:rPr>
        <w:t>שימוש</w:t>
      </w:r>
      <w:r>
        <w:rPr>
          <w:rFonts w:hint="cs"/>
          <w:rtl/>
        </w:rPr>
        <w:t xml:space="preserve"> באירוע היסטורי כדי להעביר מסר פילוסופי </w:t>
      </w:r>
      <w:r>
        <w:rPr>
          <w:rtl/>
        </w:rPr>
        <w:t>–</w:t>
      </w:r>
      <w:r>
        <w:rPr>
          <w:rFonts w:hint="cs"/>
          <w:rtl/>
        </w:rPr>
        <w:t xml:space="preserve"> מה המסר או המסרים הפילוסופיים שאפלטון מנסה להעביר?</w:t>
      </w:r>
    </w:p>
    <w:sectPr w:rsidR="004A35BE" w:rsidRPr="00DD438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FF1636"/>
    <w:multiLevelType w:val="hybridMultilevel"/>
    <w:tmpl w:val="658070E4"/>
    <w:lvl w:ilvl="0" w:tplc="1444C9BA">
      <w:start w:val="1"/>
      <w:numFmt w:val="decimal"/>
      <w:lvlText w:val="%1."/>
      <w:lvlJc w:val="left"/>
      <w:pPr>
        <w:ind w:left="119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910" w:hanging="360"/>
      </w:pPr>
    </w:lvl>
    <w:lvl w:ilvl="2" w:tplc="2000001B" w:tentative="1">
      <w:start w:val="1"/>
      <w:numFmt w:val="lowerRoman"/>
      <w:lvlText w:val="%3."/>
      <w:lvlJc w:val="right"/>
      <w:pPr>
        <w:ind w:left="2630" w:hanging="180"/>
      </w:pPr>
    </w:lvl>
    <w:lvl w:ilvl="3" w:tplc="2000000F" w:tentative="1">
      <w:start w:val="1"/>
      <w:numFmt w:val="decimal"/>
      <w:lvlText w:val="%4."/>
      <w:lvlJc w:val="left"/>
      <w:pPr>
        <w:ind w:left="3350" w:hanging="360"/>
      </w:pPr>
    </w:lvl>
    <w:lvl w:ilvl="4" w:tplc="20000019" w:tentative="1">
      <w:start w:val="1"/>
      <w:numFmt w:val="lowerLetter"/>
      <w:lvlText w:val="%5."/>
      <w:lvlJc w:val="left"/>
      <w:pPr>
        <w:ind w:left="4070" w:hanging="360"/>
      </w:pPr>
    </w:lvl>
    <w:lvl w:ilvl="5" w:tplc="2000001B" w:tentative="1">
      <w:start w:val="1"/>
      <w:numFmt w:val="lowerRoman"/>
      <w:lvlText w:val="%6."/>
      <w:lvlJc w:val="right"/>
      <w:pPr>
        <w:ind w:left="4790" w:hanging="180"/>
      </w:pPr>
    </w:lvl>
    <w:lvl w:ilvl="6" w:tplc="2000000F" w:tentative="1">
      <w:start w:val="1"/>
      <w:numFmt w:val="decimal"/>
      <w:lvlText w:val="%7."/>
      <w:lvlJc w:val="left"/>
      <w:pPr>
        <w:ind w:left="5510" w:hanging="360"/>
      </w:pPr>
    </w:lvl>
    <w:lvl w:ilvl="7" w:tplc="20000019" w:tentative="1">
      <w:start w:val="1"/>
      <w:numFmt w:val="lowerLetter"/>
      <w:lvlText w:val="%8."/>
      <w:lvlJc w:val="left"/>
      <w:pPr>
        <w:ind w:left="6230" w:hanging="360"/>
      </w:pPr>
    </w:lvl>
    <w:lvl w:ilvl="8" w:tplc="2000001B" w:tentative="1">
      <w:start w:val="1"/>
      <w:numFmt w:val="lowerRoman"/>
      <w:lvlText w:val="%9."/>
      <w:lvlJc w:val="right"/>
      <w:pPr>
        <w:ind w:left="6950" w:hanging="180"/>
      </w:pPr>
    </w:lvl>
  </w:abstractNum>
  <w:abstractNum w:abstractNumId="1" w15:restartNumberingAfterBreak="0">
    <w:nsid w:val="3D1B6900"/>
    <w:multiLevelType w:val="hybridMultilevel"/>
    <w:tmpl w:val="8D8CC34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913E94"/>
    <w:multiLevelType w:val="hybridMultilevel"/>
    <w:tmpl w:val="2926202E"/>
    <w:lvl w:ilvl="0" w:tplc="7E249E52">
      <w:start w:val="1"/>
      <w:numFmt w:val="hebrew1"/>
      <w:lvlText w:val="(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3151A4"/>
    <w:multiLevelType w:val="hybridMultilevel"/>
    <w:tmpl w:val="196A6B74"/>
    <w:lvl w:ilvl="0" w:tplc="4A9809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38A"/>
    <w:rsid w:val="0003467C"/>
    <w:rsid w:val="00065D04"/>
    <w:rsid w:val="00160BCE"/>
    <w:rsid w:val="00181785"/>
    <w:rsid w:val="001B1FB9"/>
    <w:rsid w:val="001B63E8"/>
    <w:rsid w:val="001D20F7"/>
    <w:rsid w:val="002107BD"/>
    <w:rsid w:val="00214892"/>
    <w:rsid w:val="00226E77"/>
    <w:rsid w:val="002418BD"/>
    <w:rsid w:val="0024646E"/>
    <w:rsid w:val="0031053D"/>
    <w:rsid w:val="00327693"/>
    <w:rsid w:val="003A67D9"/>
    <w:rsid w:val="004343A2"/>
    <w:rsid w:val="00470813"/>
    <w:rsid w:val="00470C75"/>
    <w:rsid w:val="004A35BE"/>
    <w:rsid w:val="004B026A"/>
    <w:rsid w:val="004B043F"/>
    <w:rsid w:val="004B3395"/>
    <w:rsid w:val="0050658B"/>
    <w:rsid w:val="00526714"/>
    <w:rsid w:val="005756B9"/>
    <w:rsid w:val="005938CE"/>
    <w:rsid w:val="005D5C85"/>
    <w:rsid w:val="00660ECE"/>
    <w:rsid w:val="006C21F0"/>
    <w:rsid w:val="006C6BFF"/>
    <w:rsid w:val="007A4D7C"/>
    <w:rsid w:val="007A6DA9"/>
    <w:rsid w:val="007F7596"/>
    <w:rsid w:val="00827186"/>
    <w:rsid w:val="0083402B"/>
    <w:rsid w:val="0083451B"/>
    <w:rsid w:val="00834F11"/>
    <w:rsid w:val="008366A3"/>
    <w:rsid w:val="00845898"/>
    <w:rsid w:val="00891A4B"/>
    <w:rsid w:val="008D0C2E"/>
    <w:rsid w:val="00911059"/>
    <w:rsid w:val="00942E02"/>
    <w:rsid w:val="0099228C"/>
    <w:rsid w:val="00995E49"/>
    <w:rsid w:val="009C5A35"/>
    <w:rsid w:val="009F4A22"/>
    <w:rsid w:val="00A46F6F"/>
    <w:rsid w:val="00A71A67"/>
    <w:rsid w:val="00A75F8F"/>
    <w:rsid w:val="00A84744"/>
    <w:rsid w:val="00AA473C"/>
    <w:rsid w:val="00AA4B37"/>
    <w:rsid w:val="00AF18F7"/>
    <w:rsid w:val="00B20468"/>
    <w:rsid w:val="00BA5652"/>
    <w:rsid w:val="00BC293B"/>
    <w:rsid w:val="00BE2D8F"/>
    <w:rsid w:val="00BE5EAE"/>
    <w:rsid w:val="00BF1B26"/>
    <w:rsid w:val="00C130A8"/>
    <w:rsid w:val="00C56CB7"/>
    <w:rsid w:val="00C961BA"/>
    <w:rsid w:val="00CC6D75"/>
    <w:rsid w:val="00CD1919"/>
    <w:rsid w:val="00CE6BC0"/>
    <w:rsid w:val="00CF3B9F"/>
    <w:rsid w:val="00D02AEE"/>
    <w:rsid w:val="00D139DF"/>
    <w:rsid w:val="00D232A0"/>
    <w:rsid w:val="00DD438A"/>
    <w:rsid w:val="00EA0A72"/>
    <w:rsid w:val="00EA1CAF"/>
    <w:rsid w:val="00EA6699"/>
    <w:rsid w:val="00ED70BE"/>
    <w:rsid w:val="00F568B2"/>
    <w:rsid w:val="00F57FB0"/>
    <w:rsid w:val="00F76CA2"/>
    <w:rsid w:val="00F939CE"/>
    <w:rsid w:val="00FA2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E46492"/>
  <w15:chartTrackingRefBased/>
  <w15:docId w15:val="{218786F9-CE8F-40E3-BAB0-B1372EF67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Palatino Linotype" w:eastAsiaTheme="minorHAnsi" w:hAnsi="Palatino Linotype" w:cstheme="minorBidi"/>
        <w:sz w:val="22"/>
        <w:szCs w:val="22"/>
        <w:lang w:val="en-IL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43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825</TotalTime>
  <Pages>1</Pages>
  <Words>466</Words>
  <Characters>2658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German</dc:creator>
  <cp:keywords/>
  <dc:description/>
  <cp:lastModifiedBy>Andy German</cp:lastModifiedBy>
  <cp:revision>31</cp:revision>
  <dcterms:created xsi:type="dcterms:W3CDTF">2022-11-29T19:57:00Z</dcterms:created>
  <dcterms:modified xsi:type="dcterms:W3CDTF">2022-11-30T09:41:00Z</dcterms:modified>
</cp:coreProperties>
</file>