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spacing w:lineRule="auto" w:line="36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שיאו של הדיאלוג האפלטוני </w:t>
      </w:r>
      <w:r>
        <w:rPr>
          <w:rFonts w:ascii="David" w:hAnsi="David" w:cs="David"/>
          <w:b w:val="false"/>
          <w:b w:val="false"/>
          <w:bCs w:val="false"/>
          <w:i/>
          <w:i/>
          <w:iCs/>
          <w:rtl w:val="true"/>
        </w:rPr>
        <w:t>פיידון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 חושף בפנינו את מושא חקירתו הפילוסופית של סוקראטס – הסיבה שדברים נבראים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כלים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והינם כפי שהם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בחיבור זה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אציג את כשלונה של ההגות הקדם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-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סוקראטית החומרית בכלל והגותו של אנאקסאגוראס בפרט לעמוד על סיבתיות זו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  <w:i/>
          <w:i/>
          <w:iCs/>
        </w:rPr>
      </w:pP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בדומה להוגים שקדמו לו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סוקראטס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סבר בצעירותו שהחומר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בתרכובות ובתהליכים כאלו ואחרים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אחראי למציאות שאנו חווים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ככל שהתבגר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התחוור לסוקראטס שאין בכוחם של הסברים חומריים לעמוד על הסיבה שהדברים כפי שהם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כפי שהוא מדגים בפעולה מתמטית פשוטה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אחד ועוד אחד נהיים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שניים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על פניו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ההסבר כאן פשוט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אחד ועוד אחד הם שניים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משום שהאחדות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בקרבתם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מתהווים לשניים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אך הסבר זה אינו מסוגל לעמוד על שאלות רבות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האם האחד הופך לשניים משום שמתווסף הוא לאחד אחר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?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מי מהאחדות הוא זה שהופך לשניים – זה שנוסף לו אחד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או זה שמתווסף לאחד אחר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?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מה עולה בגורלו של האחד הנוסף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?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ואיך כל זה מתיישב עם כך שאילו נפצל את האחד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שוב נקבל שניים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?.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כפי שעולה מדוגמה זו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בכוחם של ההסברים החומריים  לתאר את האמצעי המאפשר את השניים – היינו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קירוב האחדות או חילוק האחד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אך לא את הסיבה להתהוותו של השלם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לא את החלקים המרכיבים אותו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ולא את ההבדל בינו לבין חלקיו</w:t>
      </w:r>
      <w:r>
        <w:rPr>
          <w:rStyle w:val="FootnoteAnchor"/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footnoteReference w:id="2"/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  <w:i/>
          <w:i/>
          <w:iCs/>
        </w:rPr>
      </w:pP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ab/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בחיפושו אחר סיבתיות שבכוחה להסביר את כל אלה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התוודע סוקראטס לאנאקסאגוראס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המציב את השכל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(</w:t>
      </w:r>
      <w:r>
        <w:rPr>
          <w:rFonts w:cs="David" w:ascii="David" w:hAnsi="David"/>
          <w:b w:val="false"/>
          <w:bCs w:val="false"/>
          <w:i w:val="false"/>
          <w:iCs w:val="false"/>
          <w:lang w:val="el-GR"/>
        </w:rPr>
        <w:t>νοῦς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)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בתור מה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שמסדר את העולם ואחראי לכל הדברים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הצבת השכל מאפשרת לתת הסבר שלם לסיבתיות הדברים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השניים הוא כפי שהוא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ונוהג כפי שהוא נוהג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משום שכך הוא הטוב ביותר לסדר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(</w:t>
      </w:r>
      <w:bookmarkStart w:id="0" w:name="firstHeading"/>
      <w:bookmarkEnd w:id="0"/>
      <w:r>
        <w:rPr>
          <w:rFonts w:cs="David" w:ascii="David" w:hAnsi="David"/>
          <w:b w:val="false"/>
          <w:bCs w:val="false"/>
          <w:i w:val="false"/>
          <w:iCs w:val="false"/>
        </w:rPr>
        <w:t>λόγος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)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הקוסמי בניצוחו של השכל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אילו יעלה בכוחינו להבין כיצד דבר כלשהו מיטיב ככל האפשר לאותו סדר בהיותו כפי שהוא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נדע לעמוד על הסיבה שישנו כפי שהוא שישנו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.</w:t>
      </w:r>
      <w:r>
        <w:rPr>
          <w:rStyle w:val="FootnoteAnchor"/>
          <w:rFonts w:cs="David" w:ascii="David" w:hAnsi="David"/>
          <w:b w:val="false"/>
          <w:bCs w:val="false"/>
          <w:i w:val="false"/>
          <w:iCs w:val="false"/>
          <w:rtl w:val="true"/>
        </w:rPr>
        <w:footnoteReference w:id="3"/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 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לאכזבתו המרה של סוקראטס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אין בכוחו של אנאקסאגוראס לספק הסבר שכזה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הגותו נותנת הסברים חומריים בלבד לטבע הדברים</w:t>
      </w:r>
      <w:r>
        <w:rPr>
          <w:rStyle w:val="FootnoteAnchor"/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footnoteReference w:id="4"/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אילו נסתפק בהסבריו של אנאקסאגוראס וההוגים החומריים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אומר סוקראטס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די בכך שיש לי עצמות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גידים ובשר להסביר מדוע אני יושב בכלא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אך אני יושב בכלא משום שאתונה שפטה אותי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 xml:space="preserve">ושבחרתי לקבל עליי את הדין 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אין בכוחה של אף הגות קדם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-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סוקראטית להסביר זאת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ההגות החומרית היא תנאי – סוקראטס אינו יכול לשבת בכלא אם אין לו עצמות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גידים ובשר – איך אינה מסוגלת לתת סיבה מספקת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זהו בדיוק הכשל שמציג קודם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בדוגמתו מתורת המספרים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את האמצעי המאפשר לסוקראטס לשבת בכלא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כמו האמצעים המחברים אחדות לשניים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ניתן לחלק לגורמים ולתאר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את הסיבה לישיבתו בכלא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כמו הסיבה להתהוותו של השתיים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לא ניתן להסביר בדפוס זה בלבד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. </w:t>
      </w:r>
    </w:p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בחיבור זה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הצגתי את הכשל שחושף סוקראטס בהגות שקדמה לו בניסיונה לעמוד על הסיבה שהדברים נבראים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כלים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וישנם כפי שישנם – בכך שבכוחה לתאר את האמצעים המאפשרים אותם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אך לא את הסיבה או את מקור תכונותיהם של הדברים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תיארתי את הסיבתיות שציפה למצוא בתורתו של אנאקסאגוראס – בדמותו של הטוב לפי השכל שמסדר את כל הדברים – ואת כשלונו של ההסבר שמצא בפועל לעמוד על הסיבתיות של הדברים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rtl w:val="true"/>
        </w:rPr>
        <w:t>כפי שמודגם על ידי תורת המספרים וישיבתו בכלא</w:t>
      </w:r>
      <w:r>
        <w:rPr>
          <w:rFonts w:cs="David" w:ascii="David" w:hAnsi="David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0" w:right="0" w:hanging="0"/>
        <w:jc w:val="both"/>
        <w:rPr/>
      </w:pPr>
      <w:r>
        <w:rPr>
          <w:rtl w:val="true"/>
        </w:rPr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rFonts w:ascii="David" w:hAnsi="David" w:eastAsia="Nimbus Sans" w:cs="David"/>
          <w:b/>
          <w:b/>
          <w:bCs/>
          <w:color w:val="auto"/>
          <w:kern w:val="2"/>
          <w:sz w:val="24"/>
          <w:szCs w:val="24"/>
          <w:u w:val="single"/>
          <w:lang w:val="en-US" w:eastAsia="zh-CN" w:bidi="hi-IN"/>
        </w:rPr>
      </w:pPr>
      <w:r>
        <w:rPr>
          <w:rFonts w:eastAsia="Nimbus Sans" w:cs="David" w:ascii="David" w:hAnsi="David"/>
          <w:b/>
          <w:bCs/>
          <w:color w:val="auto"/>
          <w:kern w:val="2"/>
          <w:sz w:val="24"/>
          <w:szCs w:val="24"/>
          <w:u w:val="single"/>
          <w:rtl w:val="true"/>
          <w:lang w:val="en-US" w:eastAsia="zh-CN" w:bidi="hi-IN"/>
        </w:rPr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rFonts w:ascii="David" w:hAnsi="David" w:eastAsia="Nimbus Sans" w:cs="David"/>
          <w:b/>
          <w:b/>
          <w:bCs/>
          <w:color w:val="auto"/>
          <w:kern w:val="2"/>
          <w:sz w:val="24"/>
          <w:szCs w:val="24"/>
          <w:u w:val="single"/>
          <w:lang w:val="en-US" w:eastAsia="zh-CN" w:bidi="hi-IN"/>
        </w:rPr>
      </w:pPr>
      <w:r>
        <w:rPr>
          <w:rFonts w:ascii="David" w:hAnsi="David" w:eastAsia="Nimbus Sans" w:cs="David"/>
          <w:b/>
          <w:b/>
          <w:bCs/>
          <w:color w:val="auto"/>
          <w:kern w:val="2"/>
          <w:sz w:val="24"/>
          <w:sz w:val="24"/>
          <w:szCs w:val="24"/>
          <w:u w:val="single"/>
          <w:rtl w:val="true"/>
          <w:lang w:val="en-US" w:eastAsia="zh-CN" w:bidi="hi-IN"/>
        </w:rPr>
        <w:t>ביבליוגרפיה</w:t>
      </w:r>
    </w:p>
    <w:p>
      <w:pPr>
        <w:pStyle w:val="Normal"/>
        <w:bidi w:val="0"/>
        <w:spacing w:lineRule="auto" w:line="360"/>
        <w:ind w:right="0" w:hanging="0"/>
        <w:jc w:val="center"/>
        <w:rPr/>
      </w:pPr>
      <w:r>
        <w:rPr>
          <w:rFonts w:eastAsia="Nimbus Sans" w:cs="David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>Curd, Patri</w:t>
      </w:r>
      <w:r>
        <w:rPr>
          <w:rFonts w:eastAsia="Nimbus Sans" w:cs="FreeSans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 xml:space="preserve">cia. </w:t>
      </w:r>
      <w:r>
        <w:rPr>
          <w:rFonts w:eastAsia="Nimbus Sans" w:cs="FreeSans" w:ascii="David Libre" w:hAnsi="David Libre"/>
          <w:b w:val="false"/>
          <w:bCs w:val="false"/>
          <w:i/>
          <w:iCs/>
          <w:color w:val="auto"/>
          <w:kern w:val="2"/>
          <w:sz w:val="24"/>
          <w:szCs w:val="24"/>
          <w:u w:val="none"/>
          <w:lang w:val="en-US" w:eastAsia="zh-CN" w:bidi="hi-IN"/>
        </w:rPr>
        <w:t xml:space="preserve">A Presocratics Reader  - Selected Fragments and Testimonia – second edition, </w:t>
      </w:r>
      <w:r>
        <w:rPr>
          <w:rFonts w:eastAsia="Nimbus Sans" w:cs="FreeSans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 xml:space="preserve">Tr. Richard D. McKirahan, Patricia Curd. </w:t>
      </w:r>
      <w:r>
        <w:rPr>
          <w:rFonts w:cs="FreeSans" w:ascii="David Libre" w:hAnsi="David Libre"/>
          <w:b w:val="false"/>
          <w:bCs w:val="false"/>
          <w:i w:val="false"/>
          <w:iCs w:val="false"/>
          <w:u w:val="none"/>
        </w:rPr>
        <w:t>Indianapolis: Hackett Publishing Company, 2011.</w:t>
      </w:r>
    </w:p>
    <w:p>
      <w:pPr>
        <w:pStyle w:val="Normal"/>
        <w:bidi w:val="0"/>
        <w:spacing w:lineRule="auto" w:line="360"/>
        <w:ind w:right="0" w:hanging="0"/>
        <w:jc w:val="center"/>
        <w:rPr>
          <w:rFonts w:ascii="David Libre" w:hAnsi="David Libre" w:cs="FreeSans"/>
          <w:b w:val="false"/>
          <w:b w:val="false"/>
          <w:bCs w:val="false"/>
          <w:i w:val="false"/>
          <w:i w:val="false"/>
          <w:iCs w:val="false"/>
          <w:u w:val="none"/>
        </w:rPr>
      </w:pPr>
      <w:r>
        <w:rPr>
          <w:rFonts w:cs="FreeSans" w:ascii="David Libre" w:hAnsi="David Libre"/>
          <w:b w:val="false"/>
          <w:bCs w:val="false"/>
          <w:i w:val="false"/>
          <w:iCs w:val="false"/>
          <w:u w:val="none"/>
        </w:rPr>
      </w:r>
    </w:p>
    <w:p>
      <w:pPr>
        <w:pStyle w:val="Footnote"/>
        <w:spacing w:lineRule="auto" w:line="360"/>
        <w:jc w:val="center"/>
        <w:rPr/>
      </w:pP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  <w:t>Plato. “Phaedo”.</w:t>
      </w:r>
      <w:r>
        <w:rPr>
          <w:rFonts w:eastAsia="Nimbus Sans" w:cs="David" w:ascii="David" w:hAnsi="David"/>
          <w:b w:val="false"/>
          <w:bCs w:val="false"/>
          <w:i/>
          <w:iCs/>
          <w:color w:val="auto"/>
          <w:kern w:val="2"/>
          <w:sz w:val="24"/>
          <w:szCs w:val="24"/>
          <w:lang w:val="en-US" w:eastAsia="zh-CN" w:bidi="hi-IN"/>
        </w:rPr>
        <w:t xml:space="preserve"> Plato: Phaedo, 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  <w:t>Tr. Eva Brann,  Peter Kalkavage, and Eric Salem. Newburyport: Focus Pub./R.Pulling Co., 1998</w:t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rFonts w:ascii="David Libre" w:hAnsi="David Libre" w:eastAsia="Nimbus Sans" w:cs="Free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</w:pPr>
      <w:r>
        <w:rPr>
          <w:rtl w:val="true"/>
        </w:rPr>
      </w:r>
    </w:p>
    <w:sectPr>
      <w:headerReference w:type="default" r:id="rId2"/>
      <w:footnotePr>
        <w:numFmt w:val="decimal"/>
      </w:footnotePr>
      <w:type w:val="nextPage"/>
      <w:pgSz w:w="12240" w:h="15840"/>
      <w:pgMar w:left="1134" w:right="1134" w:gutter="0" w:header="1134" w:top="1687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David">
    <w:charset w:val="01"/>
    <w:family w:val="roman"/>
    <w:pitch w:val="variable"/>
  </w:font>
  <w:font w:name="David Libre">
    <w:charset w:val="01"/>
    <w:family w:val="roman"/>
    <w:pitch w:val="variable"/>
  </w:font>
  <w:font w:name="serif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Plato, “Phaedo”.</w:t>
      </w:r>
      <w:r>
        <w:rPr>
          <w:i/>
          <w:iCs/>
        </w:rPr>
        <w:t xml:space="preserve"> </w:t>
      </w:r>
      <w:r>
        <w:rPr>
          <w:i w:val="false"/>
          <w:iCs w:val="false"/>
        </w:rPr>
        <w:t xml:space="preserve">Brann, Eva, Peter Kalkavage, and Eric Salem. </w:t>
      </w:r>
      <w:r>
        <w:rPr>
          <w:i/>
          <w:iCs/>
        </w:rPr>
        <w:t>Plato: Phaedo</w:t>
      </w:r>
      <w:r>
        <w:rPr>
          <w:i w:val="false"/>
          <w:iCs w:val="false"/>
        </w:rPr>
        <w:t xml:space="preserve">  </w:t>
      </w:r>
      <w:r>
        <w:rPr/>
        <w:t>p.75, para. 97A-B</w:t>
      </w:r>
    </w:p>
  </w:footnote>
  <w:footnote w:id="3">
    <w:p>
      <w:pPr>
        <w:pStyle w:val="Footnote"/>
        <w:rPr/>
      </w:pPr>
      <w:r>
        <w:rPr>
          <w:rStyle w:val="FootnoteCharacters"/>
        </w:rPr>
        <w:footnoteRef/>
      </w:r>
      <w:r>
        <w:rPr/>
        <w:tab/>
        <w:t>Ibid. p.76, para. 97C-E</w:t>
      </w:r>
    </w:p>
  </w:footnote>
  <w:footnote w:id="4">
    <w:p>
      <w:pPr>
        <w:pStyle w:val="Footnote"/>
        <w:bidi w:val="0"/>
        <w:rPr/>
      </w:pPr>
      <w:r>
        <w:rPr>
          <w:rStyle w:val="FootnoteCharacters"/>
        </w:rPr>
        <w:footnoteRef/>
      </w:r>
      <w:r>
        <w:rPr>
          <w:rFonts w:ascii="serif" w:hAnsi="serif"/>
          <w:sz w:val="23"/>
        </w:rPr>
        <w:tab/>
        <w:t>Curd, Patricia.</w:t>
      </w:r>
      <w:r>
        <w:rPr>
          <w:rFonts w:ascii="serif" w:hAnsi="serif"/>
          <w:i/>
          <w:iCs/>
          <w:sz w:val="23"/>
        </w:rPr>
        <w:t xml:space="preserve"> A Presocratics reader – selected fragments and testimonia</w:t>
      </w:r>
      <w:r>
        <w:rPr>
          <w:rFonts w:ascii="serif" w:hAnsi="serif"/>
          <w:i w:val="false"/>
          <w:iCs w:val="false"/>
          <w:sz w:val="23"/>
        </w:rPr>
        <w:t>, p.102,</w:t>
      </w:r>
      <w:r>
        <w:rPr>
          <w:rFonts w:ascii="serif" w:hAnsi="serif"/>
          <w:i/>
          <w:iCs/>
          <w:sz w:val="23"/>
        </w:rPr>
        <w:t xml:space="preserve"> </w:t>
      </w:r>
      <w:r>
        <w:rPr>
          <w:rFonts w:ascii="serif" w:hAnsi="serif"/>
          <w:sz w:val="23"/>
        </w:rPr>
        <w:t>fragment 59B1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rFonts w:ascii="David" w:hAnsi="David" w:eastAsia="Nimbus Sans" w:cs="David"/>
        <w:b/>
        <w:b/>
        <w:bCs/>
        <w:i w:val="false"/>
        <w:i w:val="false"/>
        <w:iCs w:val="false"/>
        <w:color w:val="auto"/>
        <w:kern w:val="2"/>
        <w:sz w:val="24"/>
        <w:szCs w:val="24"/>
        <w:u w:val="none"/>
        <w:lang w:val="en-US" w:eastAsia="zh-CN"/>
      </w:rPr>
    </w:pPr>
    <w:r>
      <w:rPr>
        <w:rFonts w:eastAsia="Nimbus Sans" w:cs="David" w:ascii="David" w:hAnsi="David"/>
        <w:b/>
        <w:bCs/>
        <w:i w:val="false"/>
        <w:iCs w:val="false"/>
        <w:color w:val="auto"/>
        <w:kern w:val="2"/>
        <w:sz w:val="24"/>
        <w:szCs w:val="24"/>
        <w:u w:val="none"/>
        <w:lang w:val="en-US" w:eastAsia="zh-CN"/>
      </w:rPr>
      <w:t>207130253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righ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righ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righ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righ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righ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righ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righ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righ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righ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FreeSans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imbus Sans" w:cs="FreeSan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Nimbus Sans" w:cs="Nimbus Sans"/>
      <w:b/>
      <w:bCs/>
      <w:sz w:val="48"/>
      <w:szCs w:val="48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imbus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">
    <w:name w:val="Endnote Text"/>
    <w:basedOn w:val="Normal"/>
    <w:pPr>
      <w:suppressLineNumbers/>
      <w:ind w:left="340" w:right="0" w:hanging="340"/>
    </w:pPr>
    <w:rPr>
      <w:sz w:val="20"/>
      <w:szCs w:val="20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7231</TotalTime>
  <Application>LibreOffice/7.4.4.2$Linux_X86_64 LibreOffice_project/40$Build-2</Application>
  <AppVersion>15.0000</AppVersion>
  <Pages>3</Pages>
  <Words>527</Words>
  <Characters>2572</Characters>
  <CharactersWithSpaces>3109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2022-11-26T15:19:18Z</dcterms:created>
  <dc:creator/>
  <dc:description/>
  <dc:language>en-US</dc:language>
  <cp:lastModifiedBy/>
  <dcterms:modified xsi:type="dcterms:W3CDTF">2023-01-20T17:57:11Z</dcterms:modified>
  <cp:revision>352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