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4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  <w:t>“</w:t>
      </w:r>
      <w:r>
        <w:rPr>
          <w:rtl w:val="true"/>
        </w:rPr>
        <w:t>החזק עושה את מה שהוא חפץ לעשות</w:t>
      </w:r>
      <w:r>
        <w:rPr>
          <w:rtl w:val="true"/>
        </w:rPr>
        <w:t xml:space="preserve">, </w:t>
      </w:r>
      <w:r>
        <w:rPr>
          <w:rtl w:val="true"/>
        </w:rPr>
        <w:t>והחלש סובל את מה שהוא חייב לסבול</w:t>
      </w:r>
      <w:r>
        <w:rPr>
          <w:rtl w:val="true"/>
        </w:rPr>
        <w:t>"</w:t>
      </w:r>
      <w:r>
        <w:rPr>
          <w:rStyle w:val="FootnoteAnchor"/>
          <w:rtl w:val="true"/>
        </w:rPr>
        <w:footnoteReference w:id="2"/>
      </w:r>
      <w:r>
        <w:rPr>
          <w:rtl w:val="true"/>
        </w:rPr>
        <w:t xml:space="preserve">, </w:t>
      </w:r>
      <w:r>
        <w:rPr>
          <w:rtl w:val="true"/>
        </w:rPr>
        <w:t>כותב תוקידידס בשיא המלחמה הפלופונסית – מלחמת הכל</w:t>
      </w:r>
      <w:r>
        <w:rPr>
          <w:rtl w:val="true"/>
        </w:rPr>
        <w:t>-</w:t>
      </w:r>
      <w:r>
        <w:rPr>
          <w:rtl w:val="true"/>
        </w:rPr>
        <w:t>בכל של אתונה בספרטה</w:t>
      </w:r>
      <w:r>
        <w:rPr>
          <w:rtl w:val="true"/>
        </w:rPr>
        <w:t xml:space="preserve">,  </w:t>
      </w:r>
      <w:r>
        <w:rPr>
          <w:rtl w:val="true"/>
        </w:rPr>
        <w:t xml:space="preserve">אשר </w:t>
      </w:r>
      <w:r>
        <w:rPr>
          <w:rtl w:val="true"/>
        </w:rPr>
        <w:t>חרבה את יוון</w:t>
      </w:r>
      <w:r>
        <w:rPr>
          <w:rtl w:val="true"/>
        </w:rPr>
        <w:t xml:space="preserve">. </w:t>
      </w:r>
      <w:r>
        <w:rPr>
          <w:rtl w:val="true"/>
        </w:rPr>
        <w:t xml:space="preserve">בצל המלחמה והדעה </w:t>
      </w:r>
      <w:r>
        <w:rPr>
          <w:rtl w:val="true"/>
        </w:rPr>
        <w:t>(</w:t>
      </w:r>
      <w:r>
        <w:rPr>
          <w:rFonts w:cs="David Libre"/>
          <w:sz w:val="24"/>
          <w:szCs w:val="24"/>
          <w:u w:val="none"/>
        </w:rPr>
        <w:t>δόξα</w:t>
      </w:r>
      <w:r>
        <w:rPr>
          <w:rtl w:val="true"/>
        </w:rPr>
        <w:t xml:space="preserve">) </w:t>
      </w:r>
      <w:r>
        <w:rPr>
          <w:rtl w:val="true"/>
        </w:rPr>
        <w:t>האתונאית התוקפנית שזו עיצבה</w:t>
      </w:r>
      <w:r>
        <w:rPr>
          <w:rtl w:val="true"/>
        </w:rPr>
        <w:t xml:space="preserve">, </w:t>
      </w:r>
      <w:r>
        <w:rPr>
          <w:rtl w:val="true"/>
        </w:rPr>
        <w:t>כותב אפלטון את ה</w:t>
      </w:r>
      <w:r>
        <w:rPr>
          <w:i/>
          <w:i/>
          <w:iCs/>
          <w:rtl w:val="true"/>
        </w:rPr>
        <w:t>פוליטאה</w:t>
      </w:r>
      <w:r>
        <w:rPr>
          <w:i w:val="false"/>
          <w:i w:val="false"/>
          <w:iCs w:val="false"/>
          <w:rtl w:val="true"/>
        </w:rPr>
        <w:t xml:space="preserve"> – בה מנסה להתמודד עם דעה זו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כפי שמנסחה בפי קאליקלס </w:t>
      </w:r>
      <w:r>
        <w:rPr>
          <w:i w:val="false"/>
          <w:iCs w:val="false"/>
          <w:rtl w:val="true"/>
        </w:rPr>
        <w:t>- “</w:t>
      </w:r>
      <w:r>
        <w:rPr>
          <w:i w:val="false"/>
          <w:i w:val="false"/>
          <w:iCs w:val="false"/>
          <w:rtl w:val="true"/>
        </w:rPr>
        <w:t>כך דינו של הצדק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שימשול הנעלה יותר על מי שנופל ממנו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וחלקו יגדל </w:t>
      </w:r>
      <w:r>
        <w:rPr>
          <w:i w:val="false"/>
          <w:iCs w:val="false"/>
          <w:rtl w:val="true"/>
        </w:rPr>
        <w:t>"</w:t>
      </w:r>
      <w:r>
        <w:rPr>
          <w:rStyle w:val="FootnoteAnchor"/>
          <w:i w:val="false"/>
          <w:iCs w:val="false"/>
          <w:rtl w:val="true"/>
        </w:rPr>
        <w:footnoteReference w:id="3"/>
      </w:r>
      <w:r>
        <w:rPr>
          <w:i w:val="false"/>
          <w:iCs w:val="false"/>
          <w:rtl w:val="true"/>
        </w:rPr>
        <w:t>.</w:t>
      </w:r>
    </w:p>
    <w:p>
      <w:pPr>
        <w:pStyle w:val="Style14"/>
        <w:bidi w:val="1"/>
        <w:spacing w:lineRule="auto" w:line="360"/>
        <w:ind w:left="0" w:right="0" w:hanging="0"/>
        <w:jc w:val="both"/>
        <w:rPr/>
      </w:pPr>
      <w:r>
        <w:rPr>
          <w:i w:val="false"/>
          <w:iCs w:val="false"/>
          <w:rtl w:val="true"/>
        </w:rPr>
        <w:tab/>
        <w:t xml:space="preserve"> </w:t>
      </w:r>
      <w:r>
        <w:rPr>
          <w:i w:val="false"/>
          <w:i w:val="false"/>
          <w:iCs w:val="false"/>
          <w:rtl w:val="true"/>
        </w:rPr>
        <w:t>אפלטון מנסה להתמודד עם טענה ע</w:t>
      </w:r>
      <w:r>
        <w:rPr>
          <w:i w:val="false"/>
          <w:i w:val="false"/>
          <w:iCs w:val="false"/>
          <w:rtl w:val="true"/>
        </w:rPr>
        <w:t>ו</w:t>
      </w:r>
      <w:r>
        <w:rPr>
          <w:i w:val="false"/>
          <w:i w:val="false"/>
          <w:iCs w:val="false"/>
          <w:rtl w:val="true"/>
        </w:rPr>
        <w:t>צמתית זו על ידי בניית</w:t>
      </w:r>
      <w:r>
        <w:rPr>
          <w:rtl w:val="true"/>
        </w:rPr>
        <w:t xml:space="preserve"> העיר הצודקת בכוח הדיבר</w:t>
      </w:r>
      <w:r>
        <w:rPr>
          <w:rtl w:val="true"/>
        </w:rPr>
        <w:t xml:space="preserve">, </w:t>
      </w:r>
      <w:r>
        <w:rPr>
          <w:rtl w:val="true"/>
        </w:rPr>
        <w:t>ובבחינתה לעמוד על טיבו של הצדק</w:t>
      </w:r>
      <w:r>
        <w:rPr>
          <w:rStyle w:val="FootnoteAnchor"/>
          <w:rtl w:val="true"/>
        </w:rPr>
        <w:footnoteReference w:id="4"/>
      </w:r>
      <w:r>
        <w:rPr>
          <w:rtl w:val="true"/>
        </w:rPr>
        <w:t xml:space="preserve">; </w:t>
      </w:r>
      <w:r>
        <w:rPr>
          <w:rtl w:val="true"/>
        </w:rPr>
        <w:t>אלא שלמרבה התדהמה</w:t>
      </w:r>
      <w:r>
        <w:rPr>
          <w:rtl w:val="true"/>
        </w:rPr>
        <w:t xml:space="preserve">, </w:t>
      </w:r>
      <w:r>
        <w:rPr>
          <w:rtl w:val="true"/>
        </w:rPr>
        <w:t>אפלטון מקים חברה זו על בסיס שקרי</w:t>
      </w:r>
      <w:r>
        <w:rPr>
          <w:rtl w:val="true"/>
        </w:rPr>
        <w:t xml:space="preserve">! </w:t>
      </w:r>
      <w:r>
        <w:rPr>
          <w:rtl w:val="true"/>
        </w:rPr>
        <w:t xml:space="preserve">הכיצד ייתכן שבדרשו </w:t>
      </w:r>
      <w:r>
        <w:rPr>
          <w:rtl w:val="true"/>
        </w:rPr>
        <w:t xml:space="preserve">את </w:t>
      </w:r>
      <w:r>
        <w:rPr>
          <w:rtl w:val="true"/>
        </w:rPr>
        <w:t>הצדק</w:t>
      </w:r>
      <w:r>
        <w:rPr>
          <w:rtl w:val="true"/>
        </w:rPr>
        <w:t xml:space="preserve">, </w:t>
      </w:r>
      <w:r>
        <w:rPr>
          <w:rtl w:val="true"/>
        </w:rPr>
        <w:t>פונה אפלטון אל השקר</w:t>
      </w:r>
      <w:r>
        <w:rPr>
          <w:rtl w:val="true"/>
        </w:rPr>
        <w:t xml:space="preserve">? </w:t>
      </w:r>
      <w:r>
        <w:rPr>
          <w:rtl w:val="true"/>
        </w:rPr>
        <w:t xml:space="preserve">על שאלה זו אנסה להשיב בחיבור זה </w:t>
      </w:r>
      <w:r>
        <w:rPr>
          <w:rtl w:val="true"/>
        </w:rPr>
        <w:t xml:space="preserve">- </w:t>
      </w:r>
      <w:r>
        <w:rPr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 xml:space="preserve">בכך שאעמוד תחילה על טבע האדם כפי </w:t>
      </w:r>
      <w:r>
        <w:rPr>
          <w:i w:val="false"/>
          <w:i w:val="false"/>
          <w:iCs w:val="false"/>
          <w:rtl w:val="true"/>
        </w:rPr>
        <w:t>ה</w:t>
      </w:r>
      <w:r>
        <w:rPr>
          <w:i w:val="false"/>
          <w:i w:val="false"/>
          <w:iCs w:val="false"/>
          <w:rtl w:val="true"/>
        </w:rPr>
        <w:t>מומחש במשל ‘טבעת גיגס’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אציג את ההכרח לשקר בניסיון לגבור על טבע זה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 xml:space="preserve">ולבסוף </w:t>
      </w:r>
      <w:r>
        <w:rPr>
          <w:i w:val="false"/>
          <w:i w:val="false"/>
          <w:iCs w:val="false"/>
          <w:rtl w:val="true"/>
        </w:rPr>
        <w:t>אפרט</w:t>
      </w:r>
      <w:r>
        <w:rPr>
          <w:i w:val="false"/>
          <w:i w:val="false"/>
          <w:iCs w:val="false"/>
          <w:rtl w:val="true"/>
        </w:rPr>
        <w:t xml:space="preserve"> אודות אותו השקר שרוקח אפלטון בכינון חברתו הצודקת</w:t>
      </w:r>
      <w:r>
        <w:rPr>
          <w:i w:val="false"/>
          <w:iCs w:val="false"/>
          <w:rtl w:val="true"/>
        </w:rPr>
        <w:t>.</w:t>
      </w:r>
    </w:p>
    <w:p>
      <w:pPr>
        <w:pStyle w:val="Style14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  <w:tab/>
      </w:r>
      <w:r>
        <w:rPr>
          <w:rtl w:val="true"/>
        </w:rPr>
        <w:t>את טבע האדם דורש אפלטון בניסוי מחשבתי – הואיל ונאפשר לאדם מן השורה לנהוג כרצונו מבלי לשאת בתוצאות – כיצד יפעל</w:t>
      </w:r>
      <w:r>
        <w:rPr>
          <w:rtl w:val="true"/>
        </w:rPr>
        <w:t xml:space="preserve">?. </w:t>
      </w:r>
      <w:r>
        <w:rPr>
          <w:rtl w:val="true"/>
        </w:rPr>
        <w:t>כך מתואר במשל ‘טבעת גיגס’</w:t>
      </w:r>
      <w:r>
        <w:rPr>
          <w:rtl w:val="true"/>
        </w:rPr>
        <w:t xml:space="preserve">, </w:t>
      </w:r>
      <w:r>
        <w:rPr>
          <w:rtl w:val="true"/>
        </w:rPr>
        <w:t>המספר על רועה צאן אשר מוצא באורח פלא טבעת שכוחה להופכו לרואה ואינו נראה</w:t>
      </w:r>
      <w:r>
        <w:rPr>
          <w:rtl w:val="true"/>
        </w:rPr>
        <w:t xml:space="preserve">. </w:t>
      </w:r>
      <w:r>
        <w:rPr>
          <w:rtl w:val="true"/>
        </w:rPr>
        <w:t>תוצאותיו של הניסוי מציבות בפנינו תמונה עגומה על טבע האדם</w:t>
      </w:r>
      <w:r>
        <w:rPr>
          <w:rtl w:val="true"/>
        </w:rPr>
        <w:t>: “</w:t>
      </w:r>
      <w:r>
        <w:rPr>
          <w:rtl w:val="true"/>
        </w:rPr>
        <w:t>משהכיר לדעת זאת</w:t>
      </w:r>
      <w:r>
        <w:rPr>
          <w:rtl w:val="true"/>
        </w:rPr>
        <w:t>...</w:t>
      </w:r>
      <w:r>
        <w:rPr>
          <w:rtl w:val="true"/>
        </w:rPr>
        <w:t>נאף את אשת המלך</w:t>
      </w:r>
      <w:r>
        <w:rPr>
          <w:rtl w:val="true"/>
        </w:rPr>
        <w:t xml:space="preserve">, </w:t>
      </w:r>
      <w:r>
        <w:rPr>
          <w:rtl w:val="true"/>
        </w:rPr>
        <w:t>ויחד איתה ארב למלך והרגו</w:t>
      </w:r>
      <w:r>
        <w:rPr>
          <w:rtl w:val="true"/>
        </w:rPr>
        <w:t xml:space="preserve">, </w:t>
      </w:r>
      <w:r>
        <w:rPr>
          <w:rtl w:val="true"/>
        </w:rPr>
        <w:t>ובכך נטל את השלטון לידו</w:t>
      </w:r>
      <w:r>
        <w:rPr>
          <w:rtl w:val="true"/>
        </w:rPr>
        <w:t>"</w:t>
      </w:r>
      <w:r>
        <w:rPr>
          <w:rStyle w:val="FootnoteAnchor"/>
          <w:rtl w:val="true"/>
        </w:rPr>
        <w:footnoteReference w:id="5"/>
      </w:r>
      <w:r>
        <w:rPr>
          <w:rtl w:val="true"/>
        </w:rPr>
        <w:t xml:space="preserve">. </w:t>
      </w:r>
      <w:r>
        <w:rPr>
          <w:rtl w:val="true"/>
        </w:rPr>
        <w:t>האדם הישר</w:t>
      </w:r>
      <w:r>
        <w:rPr>
          <w:rtl w:val="true"/>
        </w:rPr>
        <w:t xml:space="preserve">, </w:t>
      </w:r>
      <w:r>
        <w:rPr>
          <w:rtl w:val="true"/>
        </w:rPr>
        <w:t>משישוחרר מתוצאות מעשיו</w:t>
      </w:r>
      <w:r>
        <w:rPr>
          <w:rtl w:val="true"/>
        </w:rPr>
        <w:t>,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יפעל לפי טבעו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ויקדם רק את טובתו האישית</w:t>
      </w:r>
      <w:r>
        <w:rPr>
          <w:b w:val="false"/>
          <w:bCs w:val="false"/>
          <w:rtl w:val="true"/>
        </w:rPr>
        <w:t>.</w:t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האם ניתן לשכנע את החזק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אשר בכוחו לעשות כן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לנהוג אחרת</w:t>
      </w:r>
      <w:r>
        <w:rPr>
          <w:b w:val="false"/>
          <w:bCs w:val="false"/>
          <w:i w:val="false"/>
          <w:iCs w:val="false"/>
          <w:rtl w:val="true"/>
        </w:rPr>
        <w:t>?</w:t>
      </w:r>
    </w:p>
    <w:p>
      <w:pPr>
        <w:pStyle w:val="Style14"/>
        <w:bidi w:val="1"/>
        <w:spacing w:lineRule="auto" w:line="360"/>
        <w:ind w:left="0" w:right="0" w:hanging="0"/>
        <w:jc w:val="both"/>
        <w:rPr/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אפלטון שולל רעיון זה על הסף מיד בפתיחת הדיאלוג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סוקראטס וגלאוקון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בבואם לשוב לאתונה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נפקדים לעצור על ידי פולימארכוס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הכופה עליהם מיד להישאר בפיראוס</w:t>
      </w:r>
      <w:r>
        <w:rPr>
          <w:b w:val="false"/>
          <w:bCs w:val="false"/>
          <w:i w:val="false"/>
          <w:iCs w:val="false"/>
          <w:rtl w:val="true"/>
        </w:rPr>
        <w:t>: 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האם אתה רואה כמה מרובים אנחנו</w:t>
      </w:r>
      <w:r>
        <w:rPr>
          <w:b w:val="false"/>
          <w:bCs w:val="false"/>
          <w:i w:val="false"/>
          <w:iCs w:val="false"/>
          <w:rtl w:val="true"/>
        </w:rPr>
        <w:t>?...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ובכן תתגברו על כל אלה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 תישארו כאן</w:t>
      </w:r>
      <w:r>
        <w:rPr>
          <w:b w:val="false"/>
          <w:bCs w:val="false"/>
          <w:i w:val="false"/>
          <w:iCs w:val="false"/>
          <w:rtl w:val="true"/>
        </w:rPr>
        <w:t>!”</w:t>
      </w:r>
      <w:r>
        <w:rPr>
          <w:rStyle w:val="FootnoteAnchor"/>
          <w:b w:val="false"/>
          <w:bCs w:val="false"/>
          <w:i w:val="false"/>
          <w:iCs w:val="false"/>
          <w:rtl w:val="true"/>
        </w:rPr>
        <w:footnoteReference w:id="6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משפונה סוקראטס לפולימארכוס ושואל אם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לא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יוכל לשכנע אותו לשחררם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משיב הלה בזלזול</w:t>
      </w:r>
      <w:r>
        <w:rPr>
          <w:b w:val="false"/>
          <w:bCs w:val="false"/>
          <w:i w:val="false"/>
          <w:iCs w:val="false"/>
          <w:rtl w:val="true"/>
        </w:rPr>
        <w:t>: 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ואנשים שאינם שומעים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כלום תוכלו לשדלם</w:t>
      </w:r>
      <w:r>
        <w:rPr>
          <w:b w:val="false"/>
          <w:bCs w:val="false"/>
          <w:i w:val="false"/>
          <w:iCs w:val="false"/>
          <w:rtl w:val="true"/>
        </w:rPr>
        <w:t>?”</w:t>
      </w:r>
      <w:r>
        <w:rPr>
          <w:rStyle w:val="FootnoteAnchor"/>
          <w:b w:val="false"/>
          <w:bCs w:val="false"/>
          <w:i w:val="false"/>
          <w:iCs w:val="false"/>
          <w:rtl w:val="true"/>
        </w:rPr>
        <w:footnoteReference w:id="7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סירוב בוטה זה להישמע לתבונה</w:t>
      </w:r>
      <w:r>
        <w:rPr>
          <w:b w:val="false"/>
          <w:bCs w:val="false"/>
          <w:i w:val="false"/>
          <w:iCs w:val="false"/>
          <w:rtl w:val="true"/>
        </w:rPr>
        <w:t>,</w:t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חוזר ונשנה בכתביו של אפלטון</w:t>
      </w:r>
      <w:r>
        <w:rPr>
          <w:b w:val="false"/>
          <w:bCs w:val="false"/>
          <w:i w:val="false"/>
          <w:iCs w:val="false"/>
          <w:rtl w:val="true"/>
        </w:rPr>
        <w:t>: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פולוס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אשר טוען כי מותרת עשיית העוול על סבילתו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פורש מן הדיון לאור מסקנתו של סוקראטס</w:t>
      </w:r>
      <w:r>
        <w:rPr>
          <w:rStyle w:val="FootnoteAnchor"/>
          <w:b w:val="false"/>
          <w:b w:val="false"/>
          <w:bCs w:val="false"/>
          <w:rtl w:val="true"/>
        </w:rPr>
        <w:footnoteReference w:id="8"/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קאליקלס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הטוען בעדו של הצדק הטבעי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מגחיך את סוקראטס בהותרתו לדבר עם עצמו</w:t>
      </w:r>
      <w:r>
        <w:rPr>
          <w:rStyle w:val="FootnoteAnchor"/>
          <w:b w:val="false"/>
          <w:b w:val="false"/>
          <w:bCs w:val="false"/>
          <w:rtl w:val="true"/>
        </w:rPr>
        <w:footnoteReference w:id="9"/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תראסימכוס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מרגע שמציג את עמדתו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דורש מיד דברי שבח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ואינו מאפשר הטלת ספק בדבריו</w:t>
      </w:r>
      <w:r>
        <w:rPr>
          <w:rStyle w:val="FootnoteAnchor"/>
          <w:b w:val="false"/>
          <w:b w:val="false"/>
          <w:bCs w:val="false"/>
          <w:rtl w:val="true"/>
        </w:rPr>
        <w:footnoteReference w:id="10"/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ופולימארכוס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כאמור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אף שולל דיון עם סוקראטס על הסף</w:t>
      </w:r>
      <w:r>
        <w:rPr>
          <w:b w:val="false"/>
          <w:bCs w:val="false"/>
          <w:rtl w:val="true"/>
        </w:rPr>
        <w:t xml:space="preserve">. </w:t>
      </w:r>
    </w:p>
    <w:p>
      <w:pPr>
        <w:pStyle w:val="Style14"/>
        <w:bidi w:val="1"/>
        <w:spacing w:lineRule="auto" w:line="360"/>
        <w:ind w:left="0" w:right="0" w:hanging="0"/>
        <w:jc w:val="both"/>
        <w:rPr/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כיצד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אפוא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בבואנו להקים את העיר הצודקת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נמנע מהשליטים – בעלי הכוח בהגדרה </w:t>
      </w: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להעדיף את טובתם האישית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לאור סירובם להישמע לתבונה</w:t>
      </w:r>
      <w:r>
        <w:rPr>
          <w:b w:val="false"/>
          <w:bCs w:val="false"/>
          <w:rtl w:val="true"/>
        </w:rPr>
        <w:t xml:space="preserve">? </w:t>
      </w:r>
      <w:r>
        <w:rPr>
          <w:b w:val="false"/>
          <w:b w:val="false"/>
          <w:bCs w:val="false"/>
          <w:rtl w:val="true"/>
        </w:rPr>
        <w:t xml:space="preserve">סוקראטס סבור שלשם כך שעלינו לשכנעם </w:t>
      </w:r>
      <w:r>
        <w:rPr>
          <w:b w:val="false"/>
          <w:b w:val="false"/>
          <w:bCs w:val="false"/>
          <w:rtl w:val="true"/>
        </w:rPr>
        <w:t xml:space="preserve">להציב את </w:t>
      </w:r>
      <w:r>
        <w:rPr>
          <w:b w:val="false"/>
          <w:b w:val="false"/>
          <w:bCs w:val="false"/>
          <w:rtl w:val="true"/>
        </w:rPr>
        <w:t>טובת עיר</w:t>
      </w:r>
      <w:r>
        <w:rPr>
          <w:b w:val="false"/>
          <w:b w:val="false"/>
          <w:bCs w:val="false"/>
          <w:rtl w:val="true"/>
        </w:rPr>
        <w:t>ם</w:t>
      </w:r>
      <w:r>
        <w:rPr>
          <w:b w:val="false"/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לפני</w:t>
      </w:r>
      <w:r>
        <w:rPr>
          <w:b w:val="false"/>
          <w:b w:val="false"/>
          <w:bCs w:val="false"/>
          <w:rtl w:val="true"/>
        </w:rPr>
        <w:t xml:space="preserve"> טובתם האישית</w:t>
      </w:r>
      <w:r>
        <w:rPr>
          <w:rStyle w:val="FootnoteAnchor"/>
          <w:b w:val="false"/>
          <w:b w:val="false"/>
          <w:bCs w:val="false"/>
          <w:rtl w:val="true"/>
        </w:rPr>
        <w:footnoteReference w:id="11"/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אלא שטבעו העגום של האדם מותיר בידינו אמצעי אחד בלבד לעשות כן </w:t>
      </w: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השקר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את אותו ‘שקר אצילי’ מבקש סוקראטס להציב כמיתוס בריאתה של העיר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ובאמצעותו לעצב את דעת העם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השקר  מורכב משני משלים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משל האדמה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שמטרתו ליצור שותפות גורל בין תושבי העיר חרף הפער האדיר בחינוכם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עיסוקיהם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והשקפת עולמם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ומשל המתכות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שמטרתו להצדיק את מעמדו החברתי של כל תושב</w:t>
      </w:r>
      <w:r>
        <w:rPr>
          <w:b w:val="false"/>
          <w:bCs w:val="false"/>
          <w:rtl w:val="true"/>
        </w:rPr>
        <w:t>.</w:t>
      </w:r>
    </w:p>
    <w:p>
      <w:pPr>
        <w:pStyle w:val="Style14"/>
        <w:bidi w:val="1"/>
        <w:spacing w:lineRule="auto" w:line="360"/>
        <w:jc w:val="both"/>
        <w:rPr/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הראשון מגולל כי בני העיר נולדו מן האדמה</w:t>
      </w:r>
      <w:r>
        <w:rPr>
          <w:b w:val="false"/>
          <w:bCs w:val="false"/>
          <w:rtl w:val="true"/>
        </w:rPr>
        <w:t>, “</w:t>
      </w:r>
      <w:r>
        <w:rPr>
          <w:b w:val="false"/>
          <w:b w:val="false"/>
          <w:bCs w:val="false"/>
          <w:rtl w:val="true"/>
        </w:rPr>
        <w:t>ולפיכך חייבים הם גם עתה לראות בארץ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שהם שוכנים בה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את א</w:t>
      </w:r>
      <w:r>
        <w:rPr>
          <w:b w:val="false"/>
          <w:b w:val="false"/>
          <w:bCs w:val="false"/>
          <w:rtl w:val="true"/>
        </w:rPr>
        <w:t>י</w:t>
      </w:r>
      <w:r>
        <w:rPr>
          <w:b w:val="false"/>
          <w:b w:val="false"/>
          <w:bCs w:val="false"/>
          <w:rtl w:val="true"/>
        </w:rPr>
        <w:t>מם ומחנכתם</w:t>
      </w:r>
      <w:r>
        <w:rPr>
          <w:b w:val="false"/>
          <w:bCs w:val="false"/>
          <w:rtl w:val="true"/>
        </w:rPr>
        <w:t>...</w:t>
      </w:r>
      <w:r>
        <w:rPr>
          <w:b w:val="false"/>
          <w:b w:val="false"/>
          <w:bCs w:val="false"/>
          <w:rtl w:val="true"/>
        </w:rPr>
        <w:t>ואל שאר אנשי המדינה חייבים הם להתייחס כאל אחיהם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שגם הם ילידי האדמה כמותם</w:t>
      </w:r>
      <w:r>
        <w:rPr>
          <w:b w:val="false"/>
          <w:bCs w:val="false"/>
          <w:rtl w:val="true"/>
        </w:rPr>
        <w:t>"</w:t>
      </w:r>
      <w:r>
        <w:rPr>
          <w:rStyle w:val="FootnoteAnchor"/>
          <w:b w:val="false"/>
          <w:bCs w:val="false"/>
          <w:rtl w:val="true"/>
        </w:rPr>
        <w:footnoteReference w:id="12"/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ולאחר שעיצבנו בבני העיר שותפות גורל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נבקש להצדיק את מעמדו של כל אחד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ובכך להבטיח את השלטון לטובים ביותר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ולאפשר לכל אדם לעסוק בכישרונותיו – וזאת עושה סוקראטס ב’משל המתכות’ – “הרי אנשים אחים אתם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כל יושבי המדינה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אך כשיצר אתכם האלוה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הוסיף תערובת זהב בכל אלה מכם הראויים להיות מושלים…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וכל שהם ‘אנשי מגן’ בהם עירבב כסף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 xml:space="preserve">וברזל ונחושת </w:t>
      </w: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באיכרים ושאר האומנים</w:t>
      </w:r>
      <w:r>
        <w:rPr>
          <w:b w:val="false"/>
          <w:bCs w:val="false"/>
          <w:rtl w:val="true"/>
        </w:rPr>
        <w:t>"</w:t>
      </w:r>
      <w:r>
        <w:rPr>
          <w:rStyle w:val="FootnoteAnchor"/>
          <w:b w:val="false"/>
          <w:bCs w:val="false"/>
          <w:rtl w:val="true"/>
        </w:rPr>
        <w:footnoteReference w:id="13"/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באמצעות שקר זה סוקראטס מבקש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בתמצית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למנוע את הפלגנות – מחלתה המסוכנת מכולן של העיר</w:t>
      </w:r>
      <w:r>
        <w:rPr>
          <w:b w:val="false"/>
          <w:bCs w:val="false"/>
          <w:rtl w:val="true"/>
        </w:rPr>
        <w:t xml:space="preserve">. </w:t>
      </w:r>
    </w:p>
    <w:p>
      <w:pPr>
        <w:pStyle w:val="Style14"/>
        <w:bidi w:val="1"/>
        <w:spacing w:lineRule="auto" w:line="360"/>
        <w:jc w:val="both"/>
        <w:rPr/>
      </w:pPr>
      <w:r>
        <w:rPr>
          <w:rtl w:val="true"/>
        </w:rPr>
        <w:tab/>
      </w:r>
      <w:r>
        <w:rPr>
          <w:rtl w:val="true"/>
        </w:rPr>
        <w:t>לאור מהלך זה</w:t>
      </w:r>
      <w:r>
        <w:rPr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</w:t>
      </w:r>
      <w:r>
        <w:rPr>
          <w:i/>
          <w:i/>
          <w:iCs/>
          <w:rtl w:val="true"/>
        </w:rPr>
        <w:t>פוליטאה</w:t>
      </w:r>
      <w:r>
        <w:rPr>
          <w:i w:val="false"/>
          <w:i w:val="false"/>
          <w:iCs w:val="false"/>
          <w:rtl w:val="true"/>
        </w:rPr>
        <w:t xml:space="preserve"> מותירה אחריה שאלות קשות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 xml:space="preserve">האם הצדק ליחיד עומד בקנה אחד </w:t>
      </w:r>
      <w:r>
        <w:rPr>
          <w:i w:val="false"/>
          <w:i w:val="false"/>
          <w:iCs w:val="false"/>
          <w:rtl w:val="true"/>
        </w:rPr>
        <w:t xml:space="preserve">עם </w:t>
      </w:r>
      <w:r>
        <w:rPr>
          <w:i w:val="false"/>
          <w:i w:val="false"/>
          <w:iCs w:val="false"/>
          <w:rtl w:val="true"/>
        </w:rPr>
        <w:t>צדק הרבים</w:t>
      </w:r>
      <w:r>
        <w:rPr>
          <w:i w:val="false"/>
          <w:iCs w:val="false"/>
          <w:rtl w:val="true"/>
        </w:rPr>
        <w:t xml:space="preserve">? </w:t>
      </w:r>
      <w:r>
        <w:rPr>
          <w:i w:val="false"/>
          <w:i w:val="false"/>
          <w:iCs w:val="false"/>
          <w:rtl w:val="true"/>
        </w:rPr>
        <w:t>האם אנוסים אנו לשקר בכינון החברה הצודקת</w:t>
      </w:r>
      <w:r>
        <w:rPr>
          <w:i w:val="false"/>
          <w:iCs w:val="false"/>
          <w:rtl w:val="true"/>
        </w:rPr>
        <w:t xml:space="preserve">? </w:t>
      </w:r>
      <w:r>
        <w:rPr>
          <w:i w:val="false"/>
          <w:i w:val="false"/>
          <w:iCs w:val="false"/>
          <w:rtl w:val="true"/>
        </w:rPr>
        <w:t>והאם אין שקר זה שולל מאותה חברה את צדקתה</w:t>
      </w:r>
      <w:r>
        <w:rPr>
          <w:i w:val="false"/>
          <w:iCs w:val="false"/>
          <w:rtl w:val="true"/>
        </w:rPr>
        <w:t xml:space="preserve">?. </w:t>
      </w:r>
      <w:r>
        <w:rPr>
          <w:i w:val="false"/>
          <w:i w:val="false"/>
          <w:iCs w:val="false"/>
          <w:rtl w:val="true"/>
        </w:rPr>
        <w:t>בחיבור זה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אני מקווה שהצגתי את הרקע לדיון מאתגר זה</w:t>
      </w:r>
      <w:r>
        <w:rPr>
          <w:i w:val="false"/>
          <w:iCs w:val="false"/>
          <w:rtl w:val="true"/>
        </w:rPr>
        <w:t>.</w:t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Style14"/>
        <w:jc w:val="center"/>
        <w:rPr>
          <w:i w:val="false"/>
          <w:i w:val="false"/>
          <w:iCs w:val="false"/>
        </w:rPr>
      </w:pPr>
      <w:r>
        <w:rPr>
          <w:rtl w:val="true"/>
        </w:rPr>
      </w:r>
    </w:p>
    <w:p>
      <w:pPr>
        <w:pStyle w:val="Normal"/>
        <w:bidi w:val="0"/>
        <w:spacing w:lineRule="auto" w:line="360"/>
        <w:ind w:left="810" w:hanging="0"/>
        <w:jc w:val="center"/>
        <w:rPr/>
      </w:pPr>
      <w:r>
        <w:rPr>
          <w:rFonts w:ascii="David" w:hAnsi="David" w:cs="David"/>
          <w:b/>
          <w:b/>
          <w:bCs/>
          <w:u w:val="single"/>
          <w:rtl w:val="true"/>
        </w:rPr>
        <w:t>ביבליוגרפיה</w:t>
      </w:r>
    </w:p>
    <w:p>
      <w:pPr>
        <w:pStyle w:val="Footnote"/>
        <w:bidi w:val="1"/>
        <w:spacing w:lineRule="auto" w:line="360"/>
        <w:ind w:right="0" w:hanging="0"/>
        <w:jc w:val="center"/>
        <w:rPr>
          <w:sz w:val="24"/>
          <w:szCs w:val="24"/>
        </w:rPr>
      </w:pPr>
      <w:r>
        <w:rPr>
          <w:rFonts w:ascii="David" w:hAnsi="David" w:cs="David Libr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4"/>
          <w:sz w:val="24"/>
          <w:szCs w:val="24"/>
          <w:u w:val="none"/>
          <w:effect w:val="none"/>
          <w:shd w:fill="FFFFFF" w:val="clear"/>
          <w:rtl w:val="true"/>
        </w:rPr>
        <w:t>אפשטיין הלוי</w:t>
      </w:r>
      <w:r>
        <w:rPr>
          <w:rFonts w:cs="David Libre" w:ascii="David" w:hAnsi="David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4"/>
          <w:szCs w:val="24"/>
          <w:u w:val="none"/>
          <w:effect w:val="none"/>
          <w:shd w:fill="FFFFFF" w:val="clear"/>
          <w:rtl w:val="true"/>
        </w:rPr>
        <w:t xml:space="preserve">, </w:t>
      </w:r>
      <w:r>
        <w:rPr>
          <w:rFonts w:ascii="David" w:hAnsi="David" w:cs="David Libr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4"/>
          <w:sz w:val="24"/>
          <w:szCs w:val="24"/>
          <w:u w:val="none"/>
          <w:effect w:val="none"/>
          <w:shd w:fill="FFFFFF" w:val="clear"/>
          <w:rtl w:val="true"/>
        </w:rPr>
        <w:t>אלימלך</w:t>
      </w:r>
      <w:r>
        <w:rPr>
          <w:rFonts w:cs="David Libre" w:ascii="David" w:hAnsi="David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4"/>
          <w:szCs w:val="24"/>
          <w:u w:val="none"/>
          <w:effect w:val="none"/>
          <w:shd w:fill="FFFFFF" w:val="clear"/>
          <w:rtl w:val="true"/>
        </w:rPr>
        <w:t xml:space="preserve">. </w:t>
      </w:r>
      <w:r>
        <w:rPr>
          <w:rFonts w:ascii="David" w:hAnsi="David" w:cs="David Libre"/>
          <w:bCs w:val="false"/>
          <w:i/>
          <w:i/>
          <w:iCs/>
          <w:caps w:val="false"/>
          <w:smallCaps w:val="false"/>
          <w:color w:val="auto"/>
          <w:spacing w:val="0"/>
          <w:sz w:val="24"/>
          <w:sz w:val="24"/>
          <w:szCs w:val="24"/>
          <w:rtl w:val="true"/>
        </w:rPr>
        <w:t>תולדות מלחמת פילופוניס</w:t>
      </w:r>
      <w:r>
        <w:rPr>
          <w:rFonts w:cs="David Libre" w:ascii="sans-serif" w:hAnsi="sans-serif"/>
          <w:b w:val="false"/>
          <w:i w:val="false"/>
          <w:iCs w:val="false"/>
          <w:caps w:val="false"/>
          <w:smallCaps w:val="false"/>
          <w:color w:val="auto"/>
          <w:spacing w:val="0"/>
          <w:sz w:val="24"/>
          <w:szCs w:val="24"/>
          <w:rtl w:val="true"/>
        </w:rPr>
        <w:t xml:space="preserve">.  </w:t>
      </w:r>
      <w:r>
        <w:rPr>
          <w:rFonts w:ascii="David" w:hAnsi="David" w:cs="David Libre"/>
          <w:bCs w:val="false"/>
          <w:i w:val="false"/>
          <w:i w:val="false"/>
          <w:iCs w:val="false"/>
          <w:caps w:val="false"/>
          <w:smallCaps w:val="false"/>
          <w:color w:val="auto"/>
          <w:spacing w:val="0"/>
          <w:sz w:val="24"/>
          <w:sz w:val="24"/>
          <w:szCs w:val="24"/>
          <w:rtl w:val="true"/>
        </w:rPr>
        <w:t>ירושלים</w:t>
      </w:r>
      <w:r>
        <w:rPr>
          <w:rFonts w:cs="David Libre" w:ascii="sans-serif" w:hAnsi="sans-serif"/>
          <w:b w:val="false"/>
          <w:i w:val="false"/>
          <w:iCs w:val="false"/>
          <w:caps w:val="false"/>
          <w:smallCaps w:val="false"/>
          <w:color w:val="auto"/>
          <w:spacing w:val="0"/>
          <w:sz w:val="24"/>
          <w:szCs w:val="24"/>
          <w:rtl w:val="true"/>
        </w:rPr>
        <w:t xml:space="preserve">, </w:t>
      </w:r>
      <w:r>
        <w:rPr>
          <w:rFonts w:ascii="David" w:hAnsi="David" w:cs="David Libr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4"/>
          <w:sz w:val="24"/>
          <w:szCs w:val="24"/>
          <w:u w:val="none"/>
          <w:effect w:val="none"/>
          <w:shd w:fill="FFFFFF" w:val="clear"/>
          <w:rtl w:val="true"/>
        </w:rPr>
        <w:t>מוסד ביאליק</w:t>
      </w:r>
      <w:r>
        <w:rPr>
          <w:rFonts w:cs="David Libre" w:ascii="sans-serif" w:hAnsi="sans-serif"/>
          <w:b w:val="false"/>
          <w:i w:val="false"/>
          <w:iCs w:val="false"/>
          <w:caps w:val="false"/>
          <w:smallCaps w:val="false"/>
          <w:color w:val="auto"/>
          <w:spacing w:val="0"/>
          <w:sz w:val="24"/>
          <w:szCs w:val="24"/>
          <w:rtl w:val="true"/>
        </w:rPr>
        <w:t xml:space="preserve">, </w:t>
      </w:r>
      <w:r>
        <w:rPr>
          <w:rFonts w:ascii="David" w:hAnsi="David" w:cs="David Libre"/>
          <w:bCs w:val="false"/>
          <w:i w:val="false"/>
          <w:i w:val="false"/>
          <w:iCs w:val="false"/>
          <w:caps w:val="false"/>
          <w:smallCaps w:val="false"/>
          <w:color w:val="auto"/>
          <w:spacing w:val="0"/>
          <w:sz w:val="24"/>
          <w:sz w:val="24"/>
          <w:szCs w:val="24"/>
          <w:rtl w:val="true"/>
        </w:rPr>
        <w:t>תשי</w:t>
      </w:r>
      <w:r>
        <w:rPr>
          <w:rFonts w:cs="David Libre" w:ascii="sans-serif" w:hAnsi="sans-serif"/>
          <w:b w:val="false"/>
          <w:i w:val="false"/>
          <w:iCs w:val="false"/>
          <w:caps w:val="false"/>
          <w:smallCaps w:val="false"/>
          <w:color w:val="auto"/>
          <w:spacing w:val="0"/>
          <w:sz w:val="24"/>
          <w:szCs w:val="24"/>
          <w:rtl w:val="true"/>
        </w:rPr>
        <w:t>"</w:t>
      </w:r>
      <w:r>
        <w:rPr>
          <w:rFonts w:ascii="David" w:hAnsi="David" w:cs="David Libre"/>
          <w:bCs w:val="false"/>
          <w:i w:val="false"/>
          <w:i w:val="false"/>
          <w:iCs w:val="false"/>
          <w:caps w:val="false"/>
          <w:smallCaps w:val="false"/>
          <w:color w:val="auto"/>
          <w:spacing w:val="0"/>
          <w:sz w:val="24"/>
          <w:sz w:val="24"/>
          <w:szCs w:val="24"/>
          <w:rtl w:val="true"/>
        </w:rPr>
        <w:t xml:space="preserve">ט </w:t>
      </w:r>
      <w:r>
        <w:rPr>
          <w:rFonts w:cs="David Libre" w:ascii="David" w:hAnsi="David"/>
          <w:bCs w:val="false"/>
          <w:i w:val="false"/>
          <w:iCs w:val="false"/>
          <w:caps w:val="false"/>
          <w:smallCaps w:val="false"/>
          <w:color w:val="auto"/>
          <w:spacing w:val="0"/>
          <w:sz w:val="24"/>
          <w:szCs w:val="24"/>
        </w:rPr>
        <w:t>1959</w:t>
      </w:r>
    </w:p>
    <w:p>
      <w:pPr>
        <w:pStyle w:val="Normal"/>
        <w:bidi w:val="1"/>
        <w:spacing w:lineRule="auto" w:line="360"/>
        <w:jc w:val="center"/>
        <w:rPr/>
      </w:pPr>
      <w:r>
        <w:rPr>
          <w:rFonts w:ascii="David" w:hAnsi="David" w:cs="David"/>
          <w:i w:val="false"/>
          <w:i w:val="false"/>
          <w:iCs w:val="false"/>
          <w:rtl w:val="true"/>
        </w:rPr>
        <w:t>ליבס</w:t>
      </w:r>
      <w:r>
        <w:rPr>
          <w:rFonts w:cs="David" w:ascii="David" w:hAnsi="David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i w:val="false"/>
          <w:i w:val="false"/>
          <w:iCs w:val="false"/>
          <w:rtl w:val="true"/>
        </w:rPr>
        <w:t>יוסף</w:t>
      </w:r>
      <w:r>
        <w:rPr>
          <w:rFonts w:cs="David" w:ascii="David" w:hAnsi="David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i/>
          <w:i/>
          <w:iCs/>
          <w:rtl w:val="true"/>
        </w:rPr>
        <w:t>כתבי אפלטון</w:t>
      </w:r>
      <w:r>
        <w:rPr>
          <w:rFonts w:ascii="David" w:hAnsi="David" w:cs="David"/>
          <w:i w:val="false"/>
          <w:i w:val="false"/>
          <w:iCs w:val="false"/>
          <w:rtl w:val="true"/>
        </w:rPr>
        <w:t xml:space="preserve"> – </w:t>
      </w:r>
      <w:r>
        <w:rPr>
          <w:rFonts w:ascii="David" w:hAnsi="David" w:cs="David"/>
          <w:i/>
          <w:i/>
          <w:iCs/>
          <w:rtl w:val="true"/>
        </w:rPr>
        <w:t>כרך א</w:t>
      </w:r>
      <w:r>
        <w:rPr>
          <w:rFonts w:cs="David" w:ascii="David" w:hAnsi="David"/>
          <w:i/>
          <w:iCs/>
          <w:rtl w:val="true"/>
        </w:rPr>
        <w:t>'.</w:t>
      </w:r>
      <w:r>
        <w:rPr>
          <w:rFonts w:cs="David" w:ascii="David" w:hAnsi="David"/>
          <w:i w:val="false"/>
          <w:iCs w:val="false"/>
          <w:rtl w:val="true"/>
          <w:lang w:bidi="he-IL"/>
        </w:rPr>
        <w:t xml:space="preserve"> </w:t>
      </w:r>
      <w:r>
        <w:rPr>
          <w:rFonts w:ascii="David" w:hAnsi="David" w:cs="David"/>
          <w:i w:val="false"/>
          <w:i w:val="false"/>
          <w:iCs w:val="false"/>
          <w:rtl w:val="true"/>
        </w:rPr>
        <w:t>ירושלים</w:t>
      </w:r>
      <w:r>
        <w:rPr>
          <w:rFonts w:cs="David" w:ascii="David" w:hAnsi="David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i w:val="false"/>
          <w:i w:val="false"/>
          <w:iCs w:val="false"/>
          <w:rtl w:val="true"/>
        </w:rPr>
        <w:t>הוצאת שוקן</w:t>
      </w:r>
      <w:r>
        <w:rPr>
          <w:rFonts w:cs="David" w:ascii="David" w:hAnsi="David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i w:val="false"/>
          <w:i w:val="false"/>
          <w:iCs w:val="false"/>
          <w:rtl w:val="true"/>
        </w:rPr>
        <w:t>תש</w:t>
      </w:r>
      <w:r>
        <w:rPr>
          <w:rFonts w:ascii="David" w:hAnsi="David" w:cs="David"/>
          <w:i w:val="false"/>
          <w:i w:val="false"/>
          <w:iCs w:val="false"/>
          <w:rtl w:val="true"/>
        </w:rPr>
        <w:t>נ</w:t>
      </w:r>
      <w:r>
        <w:rPr>
          <w:rFonts w:cs="David" w:ascii="David" w:hAnsi="David"/>
          <w:i w:val="false"/>
          <w:iCs w:val="false"/>
          <w:rtl w:val="true"/>
        </w:rPr>
        <w:t>"</w:t>
      </w:r>
      <w:r>
        <w:rPr>
          <w:rFonts w:ascii="David" w:hAnsi="David" w:cs="David"/>
          <w:i w:val="false"/>
          <w:i w:val="false"/>
          <w:iCs w:val="false"/>
          <w:rtl w:val="true"/>
        </w:rPr>
        <w:t xml:space="preserve">ט </w:t>
      </w:r>
      <w:r>
        <w:rPr>
          <w:rFonts w:cs="David" w:ascii="David" w:hAnsi="David"/>
          <w:i w:val="false"/>
          <w:iCs w:val="false"/>
        </w:rPr>
        <w:t>1999</w:t>
      </w:r>
    </w:p>
    <w:p>
      <w:pPr>
        <w:pStyle w:val="Footnote"/>
        <w:bidi w:val="0"/>
        <w:spacing w:lineRule="auto" w:line="360"/>
        <w:jc w:val="center"/>
        <w:rPr>
          <w:rFonts w:ascii="Times New Roman" w:hAnsi="Times New Roman"/>
          <w:sz w:val="24"/>
          <w:szCs w:val="24"/>
        </w:rPr>
      </w:pPr>
      <w:r>
        <w:rPr>
          <w:rFonts w:cs="David Libre" w:ascii="Times New Roman" w:hAnsi="Times New Roman"/>
          <w:bCs w:val="false"/>
          <w:i w:val="false"/>
          <w:iCs w:val="false"/>
          <w:caps w:val="false"/>
          <w:smallCaps w:val="false"/>
          <w:color w:val="auto"/>
          <w:spacing w:val="0"/>
          <w:sz w:val="24"/>
          <w:szCs w:val="24"/>
        </w:rPr>
        <w:t xml:space="preserve">Bloom, Alan. </w:t>
      </w:r>
      <w:r>
        <w:rPr>
          <w:rFonts w:cs="David Libre" w:ascii="Times New Roman" w:hAnsi="Times New Roman"/>
          <w:bCs w:val="false"/>
          <w:i/>
          <w:iCs/>
          <w:caps w:val="false"/>
          <w:smallCaps w:val="false"/>
          <w:color w:val="auto"/>
          <w:spacing w:val="0"/>
          <w:sz w:val="24"/>
          <w:szCs w:val="24"/>
        </w:rPr>
        <w:t>The Republic of Plato -</w:t>
      </w:r>
      <w:r>
        <w:rPr>
          <w:rFonts w:cs="David Libre" w:ascii="Times New Roman" w:hAnsi="Times New Roman"/>
          <w:bCs w:val="false"/>
          <w:i w:val="false"/>
          <w:iCs w:val="false"/>
          <w:caps w:val="false"/>
          <w:smallCaps w:val="false"/>
          <w:color w:val="auto"/>
          <w:spacing w:val="0"/>
          <w:sz w:val="24"/>
          <w:szCs w:val="24"/>
        </w:rPr>
        <w:t xml:space="preserve"> </w:t>
      </w:r>
      <w:r>
        <w:rPr>
          <w:rFonts w:cs="David Libre" w:ascii="Times New Roman" w:hAnsi="Times New Roman"/>
          <w:bCs w:val="false"/>
          <w:i/>
          <w:iCs/>
          <w:caps w:val="false"/>
          <w:smallCaps w:val="false"/>
          <w:color w:val="auto"/>
          <w:spacing w:val="0"/>
          <w:sz w:val="24"/>
          <w:szCs w:val="24"/>
        </w:rPr>
        <w:t>second edition</w:t>
      </w:r>
      <w:r>
        <w:rPr>
          <w:rFonts w:cs="David Libre" w:ascii="Times New Roman" w:hAnsi="Times New Roman"/>
          <w:bCs w:val="false"/>
          <w:i w:val="false"/>
          <w:iCs w:val="false"/>
          <w:caps w:val="false"/>
          <w:smallCaps w:val="false"/>
          <w:color w:val="auto"/>
          <w:spacing w:val="0"/>
          <w:sz w:val="24"/>
          <w:szCs w:val="24"/>
        </w:rPr>
        <w:t>. New York, Basic Books, 1991</w:t>
      </w:r>
    </w:p>
    <w:p>
      <w:pPr>
        <w:pStyle w:val="Normal"/>
        <w:bidi w:val="0"/>
        <w:spacing w:lineRule="auto" w:line="360"/>
        <w:ind w:left="810" w:hanging="0"/>
        <w:jc w:val="center"/>
        <w:rPr/>
      </w:pPr>
      <w:r>
        <w:rPr>
          <w:rFonts w:cs="David" w:ascii="Times New Roman" w:hAnsi="Times New Roman"/>
          <w:bCs w:val="false"/>
          <w:i w:val="false"/>
          <w:iCs w:val="false"/>
          <w:caps w:val="false"/>
          <w:smallCaps w:val="false"/>
          <w:color w:val="auto"/>
          <w:spacing w:val="0"/>
        </w:rPr>
        <w:t xml:space="preserve">Sachs, Joe.  </w:t>
      </w:r>
      <w:r>
        <w:rPr>
          <w:rFonts w:cs="David" w:ascii="Times New Roman" w:hAnsi="Times New Roman"/>
          <w:bCs w:val="false"/>
          <w:i/>
          <w:iCs/>
          <w:caps w:val="false"/>
          <w:smallCaps w:val="false"/>
          <w:color w:val="auto"/>
          <w:spacing w:val="0"/>
        </w:rPr>
        <w:t xml:space="preserve">Plato: Gorgias &amp; Aristotle: Rhetoric – first edition. </w:t>
      </w:r>
      <w:r>
        <w:rPr>
          <w:rFonts w:cs="David Libre" w:ascii="Times New Roman" w:hAnsi="Times New Roman"/>
          <w:bCs w:val="false"/>
          <w:i w:val="false"/>
          <w:iCs w:val="false"/>
          <w:caps w:val="false"/>
          <w:smallCaps w:val="false"/>
          <w:color w:val="auto"/>
          <w:spacing w:val="0"/>
        </w:rPr>
        <w:t>Newburyport: Focus Pub./R.Pulling Co. , 2009</w:t>
      </w:r>
    </w:p>
    <w:sectPr>
      <w:footnotePr>
        <w:numFmt w:val="decimal"/>
      </w:footnote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David">
    <w:charset w:val="01"/>
    <w:family w:val="roman"/>
    <w:pitch w:val="variable"/>
  </w:font>
  <w:font w:name="sans-serif">
    <w:altName w:val="Arial"/>
    <w:charset w:val="01"/>
    <w:family w:val="roman"/>
    <w:pitch w:val="variable"/>
  </w:font>
  <w:font w:name="David Libre">
    <w:charset w:val="01"/>
    <w:family w:val="auto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1"/>
        <w:ind w:right="0" w:hanging="0"/>
        <w:jc w:val="left"/>
        <w:rPr>
          <w:sz w:val="20"/>
          <w:szCs w:val="20"/>
        </w:rPr>
      </w:pPr>
      <w:r>
        <w:rPr>
          <w:rStyle w:val="FootnoteCharacters"/>
        </w:rPr>
        <w:footnoteRef/>
      </w:r>
      <w:r>
        <w:rPr>
          <w:rFonts w:cs="David Libre"/>
          <w:bCs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0"/>
          <w:szCs w:val="20"/>
          <w:u w:val="none"/>
          <w:effect w:val="none"/>
          <w:shd w:fill="FFFFFF" w:val="clear"/>
          <w:rtl w:val="true"/>
        </w:rPr>
        <w:t xml:space="preserve"> </w:t>
      </w:r>
      <w:r>
        <w:rPr>
          <w:rFonts w:cs="David Libre"/>
          <w:bCs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0"/>
          <w:sz w:val="20"/>
          <w:szCs w:val="20"/>
          <w:u w:val="none"/>
          <w:effect w:val="none"/>
          <w:shd w:fill="FFFFFF" w:val="clear"/>
          <w:rtl w:val="true"/>
        </w:rPr>
        <w:t>תוקידידס</w:t>
      </w:r>
      <w:r>
        <w:rPr>
          <w:rFonts w:cs="David Libre"/>
          <w:bCs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0"/>
          <w:szCs w:val="20"/>
          <w:u w:val="none"/>
          <w:effect w:val="none"/>
          <w:shd w:fill="FFFFFF" w:val="clear"/>
          <w:rtl w:val="true"/>
        </w:rPr>
        <w:t>,</w:t>
      </w:r>
      <w:r>
        <w:rPr>
          <w:rFonts w:cs="David Libre" w:ascii="sans-serif" w:hAnsi="sans-serif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0"/>
          <w:szCs w:val="20"/>
          <w:u w:val="none"/>
          <w:effect w:val="none"/>
          <w:shd w:fill="FFFFFF" w:val="clear"/>
          <w:rtl w:val="true"/>
        </w:rPr>
        <w:t xml:space="preserve"> </w:t>
      </w:r>
      <w:r>
        <w:rPr>
          <w:rFonts w:cs="David Libre"/>
          <w:bCs w:val="false"/>
          <w:iCs w:val="false"/>
          <w:caps w:val="false"/>
          <w:smallCaps w:val="false"/>
          <w:color w:val="auto"/>
          <w:spacing w:val="0"/>
          <w:sz w:val="20"/>
          <w:sz w:val="20"/>
          <w:szCs w:val="20"/>
          <w:rtl w:val="true"/>
        </w:rPr>
        <w:t>תולדות מלחמת פילופוניס</w:t>
      </w:r>
      <w:r>
        <w:rPr>
          <w:rFonts w:cs="David Libre" w:ascii="sans-serif" w:hAnsi="sans-serif"/>
          <w:b w:val="false"/>
          <w:i w:val="false"/>
          <w:caps w:val="false"/>
          <w:smallCaps w:val="false"/>
          <w:color w:val="auto"/>
          <w:spacing w:val="0"/>
          <w:sz w:val="20"/>
          <w:szCs w:val="20"/>
          <w:rtl w:val="true"/>
        </w:rPr>
        <w:t xml:space="preserve">. </w:t>
      </w:r>
      <w:r>
        <w:rPr>
          <w:rFonts w:ascii="sans-serif" w:hAnsi="sans-serif" w:cs="David Libre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sz w:val="20"/>
          <w:sz w:val="20"/>
          <w:szCs w:val="20"/>
          <w:rtl w:val="true"/>
        </w:rPr>
        <w:t xml:space="preserve">ספר </w:t>
      </w:r>
      <w:r>
        <w:rPr>
          <w:rFonts w:cs="David Libre" w:ascii="sans-serif" w:hAnsi="sans-serif"/>
          <w:b w:val="false"/>
          <w:i w:val="false"/>
          <w:caps w:val="false"/>
          <w:smallCaps w:val="false"/>
          <w:color w:val="auto"/>
          <w:spacing w:val="0"/>
          <w:sz w:val="20"/>
          <w:szCs w:val="20"/>
        </w:rPr>
        <w:t>5</w:t>
      </w:r>
      <w:r>
        <w:rPr>
          <w:rFonts w:cs="David Libre" w:ascii="sans-serif" w:hAnsi="sans-serif"/>
          <w:b w:val="false"/>
          <w:i w:val="false"/>
          <w:caps w:val="false"/>
          <w:smallCaps w:val="false"/>
          <w:color w:val="auto"/>
          <w:spacing w:val="0"/>
          <w:sz w:val="20"/>
          <w:szCs w:val="20"/>
          <w:rtl w:val="true"/>
        </w:rPr>
        <w:t xml:space="preserve">, </w:t>
      </w:r>
      <w:r>
        <w:rPr>
          <w:rFonts w:ascii="sans-serif" w:hAnsi="sans-serif" w:cs="David Libre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sz w:val="20"/>
          <w:sz w:val="20"/>
          <w:szCs w:val="20"/>
          <w:rtl w:val="true"/>
        </w:rPr>
        <w:t xml:space="preserve">פס’ </w:t>
      </w:r>
      <w:r>
        <w:rPr>
          <w:rFonts w:cs="David Libre" w:ascii="sans-serif" w:hAnsi="sans-serif"/>
          <w:b w:val="false"/>
          <w:i w:val="false"/>
          <w:caps w:val="false"/>
          <w:smallCaps w:val="false"/>
          <w:color w:val="auto"/>
          <w:spacing w:val="0"/>
          <w:sz w:val="20"/>
          <w:szCs w:val="20"/>
        </w:rPr>
        <w:t>89</w:t>
      </w:r>
      <w:r>
        <w:rPr>
          <w:rFonts w:cs="David Libre" w:ascii="sans-serif" w:hAnsi="sans-serif"/>
          <w:b w:val="false"/>
          <w:i w:val="false"/>
          <w:caps w:val="false"/>
          <w:smallCaps w:val="false"/>
          <w:color w:val="auto"/>
          <w:spacing w:val="0"/>
          <w:sz w:val="20"/>
          <w:szCs w:val="20"/>
          <w:rtl w:val="true"/>
        </w:rPr>
        <w:t xml:space="preserve">. </w:t>
      </w:r>
      <w:r>
        <w:rPr>
          <w:rFonts w:cs="David Libre"/>
          <w:bCs w:val="false"/>
          <w:iCs w:val="false"/>
          <w:caps w:val="false"/>
          <w:smallCaps w:val="false"/>
          <w:color w:val="auto"/>
          <w:spacing w:val="0"/>
          <w:sz w:val="20"/>
          <w:sz w:val="20"/>
          <w:szCs w:val="20"/>
          <w:rtl w:val="true"/>
        </w:rPr>
        <w:t xml:space="preserve">תרגם </w:t>
      </w:r>
      <w:r>
        <w:rPr>
          <w:rFonts w:cs="David Libre"/>
          <w:bCs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0"/>
          <w:sz w:val="20"/>
          <w:szCs w:val="20"/>
          <w:u w:val="none"/>
          <w:effect w:val="none"/>
          <w:shd w:fill="FFFFFF" w:val="clear"/>
          <w:rtl w:val="true"/>
        </w:rPr>
        <w:t>א</w:t>
      </w:r>
      <w:r>
        <w:rPr>
          <w:rFonts w:cs="David Libre" w:ascii="sans-serif" w:hAnsi="sans-serif"/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sz w:val="20"/>
          <w:szCs w:val="20"/>
          <w:u w:val="none"/>
          <w:effect w:val="none"/>
          <w:shd w:fill="FFFFFF" w:val="clear"/>
          <w:rtl w:val="true"/>
        </w:rPr>
        <w:t>"</w:t>
      </w:r>
      <w:r>
        <w:rPr>
          <w:rFonts w:cs="David Libre"/>
          <w:bCs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0"/>
          <w:sz w:val="20"/>
          <w:szCs w:val="20"/>
          <w:u w:val="none"/>
          <w:effect w:val="none"/>
          <w:shd w:fill="FFFFFF" w:val="clear"/>
          <w:rtl w:val="true"/>
        </w:rPr>
        <w:t>א הלוי</w:t>
      </w:r>
      <w:r>
        <w:rPr>
          <w:rFonts w:cs="David Libre" w:ascii="sans-serif" w:hAnsi="sans-serif"/>
          <w:b w:val="false"/>
          <w:i w:val="false"/>
          <w:caps w:val="false"/>
          <w:smallCaps w:val="false"/>
          <w:color w:val="auto"/>
          <w:spacing w:val="0"/>
          <w:sz w:val="20"/>
          <w:szCs w:val="20"/>
          <w:rtl w:val="true"/>
        </w:rPr>
        <w:t xml:space="preserve">.  </w:t>
      </w:r>
      <w:r>
        <w:rPr>
          <w:rFonts w:cs="David Libre"/>
          <w:bCs w:val="false"/>
          <w:iCs w:val="false"/>
          <w:caps w:val="false"/>
          <w:smallCaps w:val="false"/>
          <w:color w:val="auto"/>
          <w:spacing w:val="0"/>
          <w:sz w:val="20"/>
          <w:sz w:val="20"/>
          <w:szCs w:val="20"/>
          <w:rtl w:val="true"/>
        </w:rPr>
        <w:t>ירושלים</w:t>
      </w:r>
      <w:r>
        <w:rPr>
          <w:rFonts w:cs="David Libre" w:ascii="sans-serif" w:hAnsi="sans-serif"/>
          <w:b w:val="false"/>
          <w:i w:val="false"/>
          <w:caps w:val="false"/>
          <w:smallCaps w:val="false"/>
          <w:color w:val="auto"/>
          <w:spacing w:val="0"/>
          <w:sz w:val="20"/>
          <w:szCs w:val="20"/>
          <w:rtl w:val="true"/>
        </w:rPr>
        <w:t xml:space="preserve">, </w:t>
      </w:r>
      <w:r>
        <w:rPr>
          <w:rFonts w:cs="David Libre"/>
          <w:bCs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0"/>
          <w:sz w:val="20"/>
          <w:szCs w:val="20"/>
          <w:u w:val="none"/>
          <w:effect w:val="none"/>
          <w:shd w:fill="FFFFFF" w:val="clear"/>
          <w:rtl w:val="true"/>
        </w:rPr>
        <w:t>מוסד ביאליק</w:t>
      </w:r>
      <w:r>
        <w:rPr>
          <w:rFonts w:cs="David Libre" w:ascii="sans-serif" w:hAnsi="sans-serif"/>
          <w:b w:val="false"/>
          <w:i w:val="false"/>
          <w:caps w:val="false"/>
          <w:smallCaps w:val="false"/>
          <w:color w:val="auto"/>
          <w:spacing w:val="0"/>
          <w:sz w:val="20"/>
          <w:szCs w:val="20"/>
          <w:rtl w:val="true"/>
        </w:rPr>
        <w:t xml:space="preserve">, </w:t>
      </w:r>
      <w:r>
        <w:rPr>
          <w:rFonts w:cs="David Libre"/>
          <w:bCs w:val="false"/>
          <w:iCs w:val="false"/>
          <w:caps w:val="false"/>
          <w:smallCaps w:val="false"/>
          <w:color w:val="auto"/>
          <w:spacing w:val="0"/>
          <w:sz w:val="20"/>
          <w:sz w:val="20"/>
          <w:szCs w:val="20"/>
          <w:rtl w:val="true"/>
        </w:rPr>
        <w:t>תשי</w:t>
      </w:r>
      <w:r>
        <w:rPr>
          <w:rFonts w:cs="David Libre" w:ascii="sans-serif" w:hAnsi="sans-serif"/>
          <w:b w:val="false"/>
          <w:i w:val="false"/>
          <w:caps w:val="false"/>
          <w:smallCaps w:val="false"/>
          <w:color w:val="auto"/>
          <w:spacing w:val="0"/>
          <w:sz w:val="20"/>
          <w:szCs w:val="20"/>
          <w:rtl w:val="true"/>
        </w:rPr>
        <w:t>"</w:t>
      </w:r>
      <w:r>
        <w:rPr>
          <w:rFonts w:cs="David Libre"/>
          <w:bCs w:val="false"/>
          <w:iCs w:val="false"/>
          <w:caps w:val="false"/>
          <w:smallCaps w:val="false"/>
          <w:color w:val="auto"/>
          <w:spacing w:val="0"/>
          <w:sz w:val="20"/>
          <w:sz w:val="20"/>
          <w:szCs w:val="20"/>
          <w:rtl w:val="true"/>
        </w:rPr>
        <w:t>ט</w:t>
      </w:r>
    </w:p>
  </w:footnote>
  <w:footnote w:id="3">
    <w:p>
      <w:pPr>
        <w:pStyle w:val="Style14"/>
        <w:ind w:left="0" w:right="0" w:hanging="0"/>
        <w:rPr>
          <w:rFonts w:ascii="David Libre" w:hAnsi="David Libre" w:cs="David Libre"/>
          <w:sz w:val="20"/>
          <w:szCs w:val="20"/>
        </w:rPr>
      </w:pPr>
      <w:r>
        <w:rPr>
          <w:rStyle w:val="FootnoteCharacters"/>
        </w:rPr>
        <w:footnoteRef/>
      </w:r>
      <w:r>
        <w:rPr>
          <w:rFonts w:cs="David Libre" w:ascii="David Libre" w:hAnsi="David Libre"/>
          <w:sz w:val="20"/>
          <w:szCs w:val="20"/>
          <w:rtl w:val="true"/>
        </w:rPr>
        <w:t xml:space="preserve"> 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>אפלטון</w:t>
      </w:r>
      <w:r>
        <w:rPr>
          <w:rFonts w:cs="David Libre" w:ascii="David Libre" w:hAnsi="David Libre"/>
          <w:sz w:val="20"/>
          <w:szCs w:val="20"/>
          <w:rtl w:val="true"/>
        </w:rPr>
        <w:t>, "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>פוליטאה</w:t>
      </w:r>
      <w:r>
        <w:rPr>
          <w:rFonts w:cs="David Libre" w:ascii="David Libre" w:hAnsi="David Libre"/>
          <w:sz w:val="20"/>
          <w:szCs w:val="20"/>
          <w:rtl w:val="true"/>
        </w:rPr>
        <w:t xml:space="preserve">". 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 xml:space="preserve">בתוך </w:t>
      </w:r>
      <w:r>
        <w:rPr>
          <w:rFonts w:ascii="David Libre" w:hAnsi="David Libre" w:cs="David Libre"/>
          <w:i/>
          <w:i/>
          <w:iCs/>
          <w:sz w:val="20"/>
          <w:sz w:val="20"/>
          <w:szCs w:val="20"/>
          <w:rtl w:val="true"/>
        </w:rPr>
        <w:t>כתבי  אפלטון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 xml:space="preserve"> </w:t>
      </w:r>
      <w:r>
        <w:rPr>
          <w:rFonts w:cs="David Libre" w:ascii="David Libre" w:hAnsi="David Libre"/>
          <w:sz w:val="20"/>
          <w:szCs w:val="20"/>
          <w:rtl w:val="true"/>
        </w:rPr>
        <w:t xml:space="preserve">- </w:t>
      </w:r>
      <w:r>
        <w:rPr>
          <w:rFonts w:ascii="David Libre" w:hAnsi="David Libre" w:cs="David Libre"/>
          <w:i/>
          <w:i/>
          <w:iCs/>
          <w:sz w:val="20"/>
          <w:sz w:val="20"/>
          <w:szCs w:val="20"/>
          <w:rtl w:val="true"/>
        </w:rPr>
        <w:t xml:space="preserve">כרך </w:t>
      </w:r>
      <w:r>
        <w:rPr>
          <w:rFonts w:ascii="David Libre" w:hAnsi="David Libre" w:cs="David Libre"/>
          <w:i/>
          <w:i/>
          <w:iCs/>
          <w:sz w:val="20"/>
          <w:sz w:val="20"/>
          <w:szCs w:val="20"/>
          <w:rtl w:val="true"/>
        </w:rPr>
        <w:t>ב</w:t>
      </w:r>
      <w:r>
        <w:rPr>
          <w:rFonts w:cs="David Libre" w:ascii="David Libre" w:hAnsi="David Libre"/>
          <w:i/>
          <w:iCs/>
          <w:sz w:val="20"/>
          <w:szCs w:val="20"/>
          <w:rtl w:val="true"/>
        </w:rPr>
        <w:t>'.</w:t>
      </w:r>
      <w:r>
        <w:rPr>
          <w:rFonts w:cs="David Libre" w:ascii="David Libre" w:hAnsi="David Libre"/>
          <w:sz w:val="20"/>
          <w:szCs w:val="20"/>
          <w:rtl w:val="true"/>
        </w:rPr>
        <w:t xml:space="preserve"> 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 xml:space="preserve">תרגם יוסף ליבס </w:t>
      </w:r>
      <w:r>
        <w:rPr>
          <w:rFonts w:cs="David Libre" w:ascii="David Libre" w:hAnsi="David Libre"/>
          <w:i w:val="false"/>
          <w:iCs w:val="false"/>
          <w:sz w:val="20"/>
          <w:szCs w:val="20"/>
          <w:rtl w:val="true"/>
        </w:rPr>
        <w:t>(</w:t>
      </w:r>
      <w:r>
        <w:rPr>
          <w:rFonts w:ascii="David" w:hAnsi="David" w:cs="David"/>
          <w:i w:val="false"/>
          <w:i w:val="false"/>
          <w:iCs w:val="false"/>
          <w:sz w:val="20"/>
          <w:sz w:val="20"/>
          <w:szCs w:val="20"/>
          <w:rtl w:val="true"/>
        </w:rPr>
        <w:t>ירושלים</w:t>
      </w:r>
      <w:r>
        <w:rPr>
          <w:rFonts w:cs="David" w:ascii="David" w:hAnsi="David"/>
          <w:i w:val="false"/>
          <w:iCs w:val="false"/>
          <w:sz w:val="20"/>
          <w:szCs w:val="20"/>
          <w:rtl w:val="true"/>
        </w:rPr>
        <w:t xml:space="preserve">: </w:t>
      </w:r>
      <w:r>
        <w:rPr>
          <w:rFonts w:ascii="David" w:hAnsi="David" w:cs="David"/>
          <w:i w:val="false"/>
          <w:i w:val="false"/>
          <w:iCs w:val="false"/>
          <w:sz w:val="20"/>
          <w:sz w:val="20"/>
          <w:szCs w:val="20"/>
          <w:rtl w:val="true"/>
        </w:rPr>
        <w:t>הוצאת שוקן</w:t>
      </w:r>
      <w:r>
        <w:rPr>
          <w:rFonts w:cs="David" w:ascii="David" w:hAnsi="David"/>
          <w:i w:val="false"/>
          <w:iCs w:val="false"/>
          <w:sz w:val="20"/>
          <w:szCs w:val="20"/>
          <w:rtl w:val="true"/>
        </w:rPr>
        <w:t xml:space="preserve">, </w:t>
      </w:r>
      <w:r>
        <w:rPr>
          <w:rFonts w:ascii="David" w:hAnsi="David" w:cs="David"/>
          <w:i w:val="false"/>
          <w:i w:val="false"/>
          <w:iCs w:val="false"/>
          <w:sz w:val="20"/>
          <w:sz w:val="20"/>
          <w:szCs w:val="20"/>
          <w:rtl w:val="true"/>
        </w:rPr>
        <w:t>תש</w:t>
      </w:r>
      <w:r>
        <w:rPr>
          <w:rFonts w:ascii="David" w:hAnsi="David" w:cs="David"/>
          <w:i w:val="false"/>
          <w:i w:val="false"/>
          <w:iCs w:val="false"/>
          <w:sz w:val="20"/>
          <w:sz w:val="20"/>
          <w:szCs w:val="20"/>
          <w:rtl w:val="true"/>
        </w:rPr>
        <w:t>נ</w:t>
      </w:r>
      <w:r>
        <w:rPr>
          <w:rFonts w:cs="David" w:ascii="David" w:hAnsi="David"/>
          <w:i w:val="false"/>
          <w:iCs w:val="false"/>
          <w:sz w:val="20"/>
          <w:szCs w:val="20"/>
          <w:rtl w:val="true"/>
        </w:rPr>
        <w:t>"</w:t>
      </w:r>
      <w:r>
        <w:rPr>
          <w:rFonts w:ascii="David" w:hAnsi="David" w:cs="David"/>
          <w:i w:val="false"/>
          <w:i w:val="false"/>
          <w:iCs w:val="false"/>
          <w:sz w:val="20"/>
          <w:sz w:val="20"/>
          <w:szCs w:val="20"/>
          <w:rtl w:val="true"/>
        </w:rPr>
        <w:t>ט</w:t>
      </w:r>
      <w:r>
        <w:rPr>
          <w:rFonts w:ascii="David" w:hAnsi="David" w:cs="David"/>
          <w:i w:val="false"/>
          <w:i w:val="false"/>
          <w:iCs w:val="false"/>
          <w:sz w:val="20"/>
          <w:sz w:val="20"/>
          <w:szCs w:val="20"/>
          <w:rtl w:val="true"/>
        </w:rPr>
        <w:t xml:space="preserve"> </w:t>
      </w:r>
      <w:r>
        <w:rPr>
          <w:rFonts w:cs="David" w:ascii="David" w:hAnsi="David"/>
          <w:i w:val="false"/>
          <w:iCs w:val="false"/>
          <w:sz w:val="20"/>
          <w:szCs w:val="20"/>
        </w:rPr>
        <w:t>1999</w:t>
      </w:r>
      <w:r>
        <w:rPr>
          <w:rFonts w:cs="David" w:ascii="David" w:hAnsi="David"/>
          <w:i w:val="false"/>
          <w:iCs w:val="false"/>
          <w:sz w:val="20"/>
          <w:szCs w:val="20"/>
          <w:rtl w:val="true"/>
        </w:rPr>
        <w:t>)</w:t>
      </w:r>
      <w:r>
        <w:rPr>
          <w:rFonts w:cs="David Libre" w:ascii="David Libre" w:hAnsi="David Libre"/>
          <w:sz w:val="20"/>
          <w:szCs w:val="20"/>
          <w:rtl w:val="true"/>
        </w:rPr>
        <w:t xml:space="preserve"> 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>עמ</w:t>
      </w:r>
      <w:r>
        <w:rPr>
          <w:rFonts w:cs="David Libre" w:ascii="David Libre" w:hAnsi="David Libre"/>
          <w:sz w:val="20"/>
          <w:szCs w:val="20"/>
          <w:rtl w:val="true"/>
        </w:rPr>
        <w:t xml:space="preserve">' </w:t>
      </w:r>
      <w:r>
        <w:rPr>
          <w:rFonts w:cs="David Libre" w:ascii="David Libre" w:hAnsi="David Libre"/>
          <w:sz w:val="20"/>
          <w:szCs w:val="20"/>
        </w:rPr>
        <w:t>332</w:t>
      </w:r>
      <w:r>
        <w:rPr>
          <w:rFonts w:cs="David Libre" w:ascii="David Libre" w:hAnsi="David Libre"/>
          <w:sz w:val="20"/>
          <w:szCs w:val="20"/>
          <w:rtl w:val="true"/>
        </w:rPr>
        <w:t xml:space="preserve">, 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 xml:space="preserve">פס’ </w:t>
      </w:r>
      <w:r>
        <w:rPr>
          <w:rFonts w:cs="David Libre" w:ascii="David Libre" w:hAnsi="David Libre"/>
          <w:sz w:val="20"/>
          <w:szCs w:val="20"/>
        </w:rPr>
        <w:t>483</w:t>
      </w:r>
    </w:p>
  </w:footnote>
  <w:footnote w:id="4">
    <w:p>
      <w:pPr>
        <w:pStyle w:val="Footnote"/>
        <w:bidi w:val="0"/>
        <w:jc w:val="left"/>
        <w:rPr>
          <w:rFonts w:ascii="Times New Roman" w:hAnsi="Times New Roman"/>
        </w:rPr>
      </w:pPr>
      <w:r>
        <w:rPr>
          <w:rStyle w:val="FootnoteCharacters"/>
        </w:rPr>
        <w:footnoteRef/>
      </w:r>
      <w:r>
        <w:rPr>
          <w:rFonts w:ascii="Times New Roman" w:hAnsi="Times New Roman"/>
          <w:i w:val="false"/>
          <w:iCs w:val="false"/>
        </w:rPr>
        <w:tab/>
        <w:t xml:space="preserve">Plato, “Republic”. </w:t>
      </w:r>
      <w:r>
        <w:rPr>
          <w:rFonts w:ascii="Times New Roman" w:hAnsi="Times New Roman"/>
          <w:i w:val="false"/>
          <w:iCs w:val="false"/>
        </w:rPr>
        <w:t xml:space="preserve">Bloom, Alan. </w:t>
      </w:r>
      <w:r>
        <w:rPr>
          <w:rFonts w:ascii="Times New Roman" w:hAnsi="Times New Roman"/>
          <w:i/>
          <w:iCs/>
        </w:rPr>
        <w:t>The Republic of Plato -</w:t>
      </w:r>
      <w:r>
        <w:rPr>
          <w:rFonts w:ascii="Times New Roman" w:hAnsi="Times New Roman"/>
          <w:i w:val="false"/>
          <w:iCs w:val="false"/>
        </w:rPr>
        <w:t xml:space="preserve"> </w:t>
      </w:r>
      <w:r>
        <w:rPr>
          <w:rFonts w:ascii="Times New Roman" w:hAnsi="Times New Roman"/>
          <w:i/>
          <w:iCs/>
        </w:rPr>
        <w:t>second edition</w:t>
      </w:r>
      <w:r>
        <w:rPr>
          <w:rFonts w:ascii="Times New Roman" w:hAnsi="Times New Roman"/>
          <w:i w:val="false"/>
          <w:iCs w:val="false"/>
        </w:rPr>
        <w:t>. New York, Basic Books, 1991, p45, para. 368d</w:t>
      </w:r>
    </w:p>
  </w:footnote>
  <w:footnote w:id="5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Fonts w:ascii="David Libre" w:hAnsi="David Libre" w:cs="David Libre"/>
          <w:sz w:val="20"/>
          <w:sz w:val="20"/>
          <w:szCs w:val="20"/>
          <w:rtl w:val="true"/>
        </w:rPr>
        <w:tab/>
        <w:t>אפלטון</w:t>
      </w:r>
      <w:r>
        <w:rPr>
          <w:rFonts w:cs="David Libre" w:ascii="David Libre" w:hAnsi="David Libre"/>
          <w:sz w:val="20"/>
          <w:szCs w:val="20"/>
          <w:rtl w:val="true"/>
        </w:rPr>
        <w:t>, "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>פוליטאה</w:t>
      </w:r>
      <w:r>
        <w:rPr>
          <w:rFonts w:cs="David Libre" w:ascii="David Libre" w:hAnsi="David Libre"/>
          <w:sz w:val="20"/>
          <w:szCs w:val="20"/>
          <w:rtl w:val="true"/>
        </w:rPr>
        <w:t xml:space="preserve">". 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 xml:space="preserve">בתוך </w:t>
      </w:r>
      <w:r>
        <w:rPr>
          <w:rFonts w:ascii="David Libre" w:hAnsi="David Libre" w:cs="David Libre"/>
          <w:i/>
          <w:i/>
          <w:iCs/>
          <w:sz w:val="20"/>
          <w:sz w:val="20"/>
          <w:szCs w:val="20"/>
          <w:rtl w:val="true"/>
        </w:rPr>
        <w:t>כתבי  אפלטון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 xml:space="preserve"> </w:t>
      </w:r>
      <w:r>
        <w:rPr>
          <w:rFonts w:cs="David Libre" w:ascii="David Libre" w:hAnsi="David Libre"/>
          <w:sz w:val="20"/>
          <w:szCs w:val="20"/>
          <w:rtl w:val="true"/>
        </w:rPr>
        <w:t xml:space="preserve">- </w:t>
      </w:r>
      <w:r>
        <w:rPr>
          <w:rFonts w:ascii="David Libre" w:hAnsi="David Libre" w:cs="David Libre"/>
          <w:i/>
          <w:i/>
          <w:iCs/>
          <w:sz w:val="20"/>
          <w:sz w:val="20"/>
          <w:szCs w:val="20"/>
          <w:rtl w:val="true"/>
        </w:rPr>
        <w:t xml:space="preserve">כרך </w:t>
      </w:r>
      <w:r>
        <w:rPr>
          <w:rFonts w:ascii="David Libre" w:hAnsi="David Libre" w:cs="David Libre"/>
          <w:i/>
          <w:i/>
          <w:iCs/>
          <w:sz w:val="20"/>
          <w:sz w:val="20"/>
          <w:szCs w:val="20"/>
          <w:rtl w:val="true"/>
        </w:rPr>
        <w:t>ב</w:t>
      </w:r>
      <w:r>
        <w:rPr>
          <w:rFonts w:cs="David Libre" w:ascii="David Libre" w:hAnsi="David Libre"/>
          <w:i/>
          <w:iCs/>
          <w:sz w:val="20"/>
          <w:szCs w:val="20"/>
          <w:rtl w:val="true"/>
        </w:rPr>
        <w:t>'.</w:t>
      </w:r>
      <w:r>
        <w:rPr>
          <w:rFonts w:cs="David Libre" w:ascii="David Libre" w:hAnsi="David Libre"/>
          <w:sz w:val="20"/>
          <w:szCs w:val="20"/>
          <w:rtl w:val="true"/>
        </w:rPr>
        <w:t xml:space="preserve"> 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>תרגם יוסף ליבס</w:t>
      </w:r>
      <w:r>
        <w:rPr>
          <w:rFonts w:cs="David Libre" w:ascii="David Libre" w:hAnsi="David Libre"/>
          <w:sz w:val="20"/>
          <w:szCs w:val="20"/>
          <w:rtl w:val="true"/>
        </w:rPr>
        <w:t xml:space="preserve">, 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 xml:space="preserve">עמ’ </w:t>
      </w:r>
      <w:r>
        <w:rPr>
          <w:rFonts w:cs="David Libre" w:ascii="David Libre" w:hAnsi="David Libre"/>
          <w:sz w:val="20"/>
          <w:szCs w:val="20"/>
        </w:rPr>
        <w:t>204</w:t>
      </w:r>
      <w:r>
        <w:rPr>
          <w:rFonts w:cs="David Libre" w:ascii="David Libre" w:hAnsi="David Libre"/>
          <w:sz w:val="20"/>
          <w:szCs w:val="20"/>
          <w:rtl w:val="true"/>
        </w:rPr>
        <w:t>,</w:t>
      </w:r>
      <w:r>
        <w:rPr>
          <w:rFonts w:cs="David Libre" w:ascii="David Libre" w:hAnsi="David Libre"/>
          <w:rtl w:val="true"/>
        </w:rPr>
        <w:t xml:space="preserve"> </w:t>
      </w:r>
      <w:r>
        <w:rPr>
          <w:rFonts w:ascii="David Libre" w:hAnsi="David Libre" w:cs="David Libre"/>
          <w:rtl w:val="true"/>
        </w:rPr>
        <w:t xml:space="preserve">פס’ </w:t>
      </w:r>
      <w:r>
        <w:rPr>
          <w:rFonts w:cs="David Libre" w:ascii="David Libre" w:hAnsi="David Libre"/>
        </w:rPr>
        <w:t>360a-b</w:t>
      </w:r>
    </w:p>
  </w:footnote>
  <w:footnote w:id="6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159-160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326</w:t>
      </w:r>
    </w:p>
  </w:footnote>
  <w:footnote w:id="7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160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>
          <w:rFonts w:ascii="Times New Roman" w:hAnsi="Times New Roman"/>
        </w:rPr>
        <w:t>327c</w:t>
      </w:r>
    </w:p>
  </w:footnote>
  <w:footnote w:id="8">
    <w:p>
      <w:pPr>
        <w:pStyle w:val="Footnote"/>
        <w:bidi w:val="0"/>
        <w:jc w:val="left"/>
        <w:rPr>
          <w:rFonts w:ascii="Times New Roman" w:hAnsi="Times New Roman"/>
        </w:rPr>
      </w:pPr>
      <w:r>
        <w:rPr>
          <w:rStyle w:val="FootnoteCharacters"/>
        </w:rPr>
        <w:footnoteRef/>
      </w:r>
      <w:r>
        <w:rPr>
          <w:rFonts w:ascii="Times New Roman" w:hAnsi="Times New Roman"/>
        </w:rPr>
        <w:tab/>
        <w:t xml:space="preserve">Plato, “Gorgias”. </w:t>
      </w:r>
      <w:r>
        <w:rPr>
          <w:rFonts w:ascii="Times New Roman" w:hAnsi="Times New Roman"/>
          <w:i/>
          <w:iCs/>
        </w:rPr>
        <w:t>Plato’s Gorgias &amp; Aristotle: Rhetoric – first edition.</w:t>
      </w:r>
      <w:r>
        <w:rPr>
          <w:rFonts w:ascii="Times New Roman" w:hAnsi="Times New Roman"/>
        </w:rPr>
        <w:t xml:space="preserve"> Tr. Joe Sachs (Newburyport: Focus Pub./R.Pulling Co. , 2009), p.</w:t>
      </w:r>
      <w:r>
        <w:rPr>
          <w:rFonts w:ascii="Times New Roman" w:hAnsi="Times New Roman"/>
        </w:rPr>
        <w:t>70</w:t>
      </w:r>
      <w:r>
        <w:rPr>
          <w:rFonts w:ascii="Times New Roman" w:hAnsi="Times New Roman"/>
        </w:rPr>
        <w:t>, para. 4</w:t>
      </w:r>
      <w:r>
        <w:rPr>
          <w:rFonts w:ascii="Times New Roman" w:hAnsi="Times New Roman"/>
        </w:rPr>
        <w:t>82D-</w:t>
      </w:r>
      <w:r>
        <w:rPr>
          <w:rFonts w:ascii="Times New Roman" w:hAnsi="Times New Roman"/>
        </w:rPr>
        <w:t>E</w:t>
      </w:r>
    </w:p>
  </w:footnote>
  <w:footnote w:id="9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 p.97, para 505C-E</w:t>
      </w:r>
    </w:p>
  </w:footnote>
  <w:footnote w:id="10">
    <w:p>
      <w:pPr>
        <w:pStyle w:val="Footnote"/>
        <w:bidi w:val="0"/>
        <w:jc w:val="left"/>
        <w:rPr>
          <w:rFonts w:ascii="Times New Roman" w:hAnsi="Times New Roman"/>
        </w:rPr>
      </w:pPr>
      <w:r>
        <w:rPr>
          <w:rStyle w:val="FootnoteCharacters"/>
        </w:rPr>
        <w:footnoteRef/>
      </w:r>
      <w:r>
        <w:rPr>
          <w:rFonts w:ascii="Times New Roman" w:hAnsi="Times New Roman"/>
          <w:i w:val="false"/>
          <w:iCs w:val="false"/>
        </w:rPr>
        <w:tab/>
        <w:t xml:space="preserve">Plato, “Republic”. </w:t>
      </w:r>
      <w:r>
        <w:rPr>
          <w:rFonts w:ascii="Times New Roman" w:hAnsi="Times New Roman"/>
          <w:i w:val="false"/>
          <w:iCs w:val="false"/>
        </w:rPr>
        <w:t xml:space="preserve">Bloom, Alan. </w:t>
      </w:r>
      <w:r>
        <w:rPr>
          <w:rFonts w:ascii="Times New Roman" w:hAnsi="Times New Roman"/>
          <w:i/>
          <w:iCs/>
        </w:rPr>
        <w:t>The Republic of Plato -</w:t>
      </w:r>
      <w:r>
        <w:rPr>
          <w:rFonts w:ascii="Times New Roman" w:hAnsi="Times New Roman"/>
          <w:i w:val="false"/>
          <w:iCs w:val="false"/>
        </w:rPr>
        <w:t xml:space="preserve"> </w:t>
      </w:r>
      <w:r>
        <w:rPr>
          <w:rFonts w:ascii="Times New Roman" w:hAnsi="Times New Roman"/>
          <w:i/>
          <w:iCs/>
        </w:rPr>
        <w:t>second edition</w:t>
      </w:r>
      <w:r>
        <w:rPr>
          <w:rFonts w:ascii="Times New Roman" w:hAnsi="Times New Roman"/>
          <w:i w:val="false"/>
          <w:iCs w:val="false"/>
        </w:rPr>
        <w:t xml:space="preserve">. </w:t>
      </w:r>
      <w:r>
        <w:rPr>
          <w:rFonts w:ascii="Times New Roman" w:hAnsi="Times New Roman"/>
          <w:i w:val="false"/>
          <w:iCs w:val="false"/>
        </w:rPr>
        <w:t>p.15, para 338C</w:t>
      </w:r>
    </w:p>
  </w:footnote>
  <w:footnote w:id="11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 p92. para. 413D</w:t>
      </w:r>
    </w:p>
  </w:footnote>
  <w:footnote w:id="12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Fonts w:ascii="David Libre" w:hAnsi="David Libre" w:cs="David Libre"/>
          <w:sz w:val="20"/>
          <w:sz w:val="20"/>
          <w:szCs w:val="20"/>
          <w:rtl w:val="true"/>
        </w:rPr>
        <w:tab/>
        <w:t>אפלטון</w:t>
      </w:r>
      <w:r>
        <w:rPr>
          <w:rFonts w:cs="David Libre" w:ascii="David Libre" w:hAnsi="David Libre"/>
          <w:sz w:val="20"/>
          <w:szCs w:val="20"/>
          <w:rtl w:val="true"/>
        </w:rPr>
        <w:t>, "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>פוליטאה</w:t>
      </w:r>
      <w:r>
        <w:rPr>
          <w:rFonts w:cs="David Libre" w:ascii="David Libre" w:hAnsi="David Libre"/>
          <w:sz w:val="20"/>
          <w:szCs w:val="20"/>
          <w:rtl w:val="true"/>
        </w:rPr>
        <w:t xml:space="preserve">". 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 xml:space="preserve">בתוך </w:t>
      </w:r>
      <w:r>
        <w:rPr>
          <w:rFonts w:ascii="David Libre" w:hAnsi="David Libre" w:cs="David Libre"/>
          <w:i/>
          <w:i/>
          <w:iCs/>
          <w:sz w:val="20"/>
          <w:sz w:val="20"/>
          <w:szCs w:val="20"/>
          <w:rtl w:val="true"/>
        </w:rPr>
        <w:t>כתבי  אפלטון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 xml:space="preserve"> </w:t>
      </w:r>
      <w:r>
        <w:rPr>
          <w:rFonts w:cs="David Libre" w:ascii="David Libre" w:hAnsi="David Libre"/>
          <w:sz w:val="20"/>
          <w:szCs w:val="20"/>
          <w:rtl w:val="true"/>
        </w:rPr>
        <w:t xml:space="preserve">- </w:t>
      </w:r>
      <w:r>
        <w:rPr>
          <w:rFonts w:ascii="David Libre" w:hAnsi="David Libre" w:cs="David Libre"/>
          <w:i/>
          <w:i/>
          <w:iCs/>
          <w:sz w:val="20"/>
          <w:sz w:val="20"/>
          <w:szCs w:val="20"/>
          <w:rtl w:val="true"/>
        </w:rPr>
        <w:t xml:space="preserve">כרך </w:t>
      </w:r>
      <w:r>
        <w:rPr>
          <w:rFonts w:ascii="David Libre" w:hAnsi="David Libre" w:cs="David Libre"/>
          <w:i/>
          <w:i/>
          <w:iCs/>
          <w:sz w:val="20"/>
          <w:sz w:val="20"/>
          <w:szCs w:val="20"/>
          <w:rtl w:val="true"/>
        </w:rPr>
        <w:t>ב</w:t>
      </w:r>
      <w:r>
        <w:rPr>
          <w:rFonts w:cs="David Libre" w:ascii="David Libre" w:hAnsi="David Libre"/>
          <w:i/>
          <w:iCs/>
          <w:sz w:val="20"/>
          <w:szCs w:val="20"/>
          <w:rtl w:val="true"/>
        </w:rPr>
        <w:t>'.</w:t>
      </w:r>
      <w:r>
        <w:rPr>
          <w:rFonts w:cs="David Libre" w:ascii="David Libre" w:hAnsi="David Libre"/>
          <w:sz w:val="20"/>
          <w:szCs w:val="20"/>
          <w:rtl w:val="true"/>
        </w:rPr>
        <w:t xml:space="preserve"> 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>תרגם יוסף ליבס</w:t>
      </w:r>
      <w:r>
        <w:rPr>
          <w:rFonts w:cs="David Libre" w:ascii="David Libre" w:hAnsi="David Libre"/>
          <w:sz w:val="20"/>
          <w:szCs w:val="20"/>
          <w:rtl w:val="true"/>
        </w:rPr>
        <w:t xml:space="preserve">, </w:t>
      </w:r>
      <w:r>
        <w:rPr>
          <w:rFonts w:ascii="David Libre" w:hAnsi="David Libre" w:cs="David Libre"/>
          <w:sz w:val="20"/>
          <w:sz w:val="20"/>
          <w:szCs w:val="20"/>
          <w:rtl w:val="true"/>
        </w:rPr>
        <w:t xml:space="preserve">עמ’ </w:t>
      </w:r>
      <w:r>
        <w:rPr>
          <w:rFonts w:cs="David Libre" w:ascii="David Libre" w:hAnsi="David Libre"/>
          <w:sz w:val="20"/>
          <w:szCs w:val="20"/>
        </w:rPr>
        <w:t>283</w:t>
      </w:r>
      <w:r>
        <w:rPr>
          <w:rFonts w:cs="David Libre" w:ascii="David Libre" w:hAnsi="David Libre"/>
          <w:sz w:val="20"/>
          <w:szCs w:val="20"/>
          <w:rtl w:val="true"/>
        </w:rPr>
        <w:t>,</w:t>
      </w:r>
      <w:r>
        <w:rPr>
          <w:rFonts w:cs="David Libre" w:ascii="David Libre" w:hAnsi="David Libre"/>
          <w:rtl w:val="true"/>
        </w:rPr>
        <w:t xml:space="preserve"> </w:t>
      </w:r>
      <w:r>
        <w:rPr>
          <w:rFonts w:ascii="David Libre" w:hAnsi="David Libre" w:cs="David Libre"/>
          <w:rtl w:val="true"/>
        </w:rPr>
        <w:t xml:space="preserve">פס’ </w:t>
      </w:r>
      <w:r>
        <w:rPr>
          <w:rFonts w:cs="David Libre" w:ascii="David Libre" w:hAnsi="David Libre"/>
        </w:rPr>
        <w:t>414D-E</w:t>
      </w:r>
    </w:p>
  </w:footnote>
  <w:footnote w:id="13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283-4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415a</w:t>
      </w:r>
    </w:p>
  </w:footnote>
</w:footnotes>
</file>

<file path=word/settings.xml><?xml version="1.0" encoding="utf-8"?>
<w:settings xmlns:w="http://schemas.openxmlformats.org/wordprocessingml/2006/main">
  <w:zoom w:percent="9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InternetLink">
    <w:name w:val="Hyperlink"/>
    <w:rPr>
      <w:color w:val="000080"/>
      <w:u w:val="single"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Style14">
    <w:name w:val="אקדמי"/>
    <w:basedOn w:val="Normal"/>
    <w:qFormat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826</TotalTime>
  <Application>LibreOffice/7.5.2.2$Linux_X86_64 LibreOffice_project/50$Build-2</Application>
  <AppVersion>15.0000</AppVersion>
  <Pages>3</Pages>
  <Words>789</Words>
  <Characters>3747</Characters>
  <CharactersWithSpaces>4543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2023-04-02T10:31:00Z</dcterms:created>
  <dc:creator/>
  <dc:description/>
  <dc:language>en-US</dc:language>
  <cp:lastModifiedBy/>
  <dcterms:modified xsi:type="dcterms:W3CDTF">2023-04-04T19:57:52Z</dcterms:modified>
  <cp:revision>149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