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4"/>
        <w:rPr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המונח ‘דיספוריה מגדרית’ הוא תוצר חברתי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אשר אינו נבדל במהותו מהמצבים הפיזיים והנפשיים הרבים הנכללים בטווח החוויה האנושית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שמשום שהוא מאתגר נורמות חברתיות קודמות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נהפך לסוגיה פוליטית וחברתית שלא בצדק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בחיבור זה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אבקש לטעון שהסוגיה האמיתית בדיון סביב הדיספוריה המגדרית והלוקים בה אינו דיון חברתי ופוליטי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מקרה פרטי של דיון פילוסופי אפיסטמולוגי – 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תחילה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אסקור בקצרה את השיח היומיומי סביב הדיספוריה המגדרית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אמשיך בשלילת הבסיס המחקרי לכאורה להגדרת הדיספוריה המגדרית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ובכך אקבע את המונח כתוצר חברתי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בהמשך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אציג את השיח כמקרה פרטי של 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 הפילוסופית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ואטען לבסוף כנגד שיח זה בשלמותו בטענה שזהותו של האדם אינה מוגדרת בדבר זולת תבונתו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rPr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ההגדרה הקלינית לדיספוריה מגדרית הינה מתח נפשי הנובע מהפער בין תפיסת המגדר של אדם לזהותו הגופנית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השיח היומיומי נסוב סביב זהותם של הלוקים במצב זה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הטוענים כי אלו אנשים אמיצים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אשר מתגברים על אכזריותו של הטבע ומצליחים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בזכות הקדמה המודרנית ונפשם האיתנה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לממש את מלוא זהותם האמיתית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למולם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הטוענים כי אלו קורבנות הסובלים מהפרעה נפשית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שהטיפול בה באמצעות שינויים גופניים הוא עוול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ישנם אף כאלו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המגדילים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לטעון כי הדיספוריה אינה אלא פנטזיה משונה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אשר ניתן לעורר ממנה את הלוקים בה – בין שבשכנוע ובין שבכפייה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עצם הגדרתה של הדיספוריה היא נושא טעון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המתנגדים לה טוענים כי מדובר במתן תוקף כוזב לתופעה שקרית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מצידו השני של המתרס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יש הטוענים כי ההגדרה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לא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נועדה אלא לתקף את אפלייתם של בני אדם מסוימים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בכך שמגדירה את הדיספוריה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מצב טבעי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כבעייתי שלא כצדק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</w:p>
    <w:p>
      <w:pPr>
        <w:pStyle w:val="Style14"/>
        <w:rPr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הגדרתה של הדיספוריה המגדרית בשיח היומיומי נשענת על ההנחה שישנם שני מינים ביולוגים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ושני מגדרים התואמים להם – אלא שהטבע אינו נענה להגדרה בינרית זו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המין הביולוגי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בדומה לכלל התכונות האנושיות שניתן להעלות על הדעת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הוא רצף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זכרים הנולדים עם מאפיינים נקביים מובהקים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ולהיפך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ישנם בני אדם הנולדים לא כזכר ולא כנקבה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וישנם אף כאלו שאינם מפתחים מאפיינים מיניים כלל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בעוד שהגדרותינו לזכר ונקבה הן התצורות הנפוצות ביותר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ישנן תצורות רבות אחרות בהן ניחנו בני אדם רבים ובריאים – וחובה לתת עליה</w:t>
      </w:r>
      <w:r>
        <w:rPr>
          <w:i w:val="false"/>
          <w:i w:val="false"/>
          <w:iCs w:val="false"/>
          <w:strike w:val="false"/>
          <w:dstrike w:val="false"/>
          <w:rtl w:val="true"/>
        </w:rPr>
        <w:t>ן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את הדעת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לאור זאת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מצטיירים המין הביולוגי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וכיוצא בזאת המגדר החברתי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כהגדרות שרירותיות לאורם של מניעים חברתיים ופוליטיים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בסיסן הפיזיקלי אינו נבחר מן הטבע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על ידי 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לצרכיו שלו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rPr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אין בכוונתי לשלול את המצב העומד מאחורי הגדרה זו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אין ספק שישנם בני אדם שמרגישים שגופם ומגדרם אינם תואמים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וחווים כתוצאה מכך מצוקה נפשית של ממש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אלא שעצם  ההגדרה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מבחינה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בין מצבם לבין רבים אחרים אשר חווים אף הם פער בין גופם לזהותם הנפשית בדרכים דומות – דוגמת המוזכרים לעיל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שנולדים בלא מין ביולוגי ברור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דוגמת רבים אחרים שנולדים עם מאפיינים גופניים נדירים יותר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אלו שאינם נוירוטיפיקליים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ואף מקרים קיצוניים פחות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כמו אלו שמתמודדים עם מאפיין גופני אחר שלא לרצונם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גובה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חוסן פיזי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וכדומה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לאור זאת אבקש לטעון שהדיספוריה המגדרית אינה סוגיה נפרדת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ובוודאי שלא פוליטית וחברתית </w:t>
      </w:r>
      <w:r>
        <w:rPr>
          <w:i w:val="false"/>
          <w:iCs w:val="false"/>
          <w:strike w:val="false"/>
          <w:dstrike w:val="false"/>
          <w:rtl w:val="true"/>
        </w:rPr>
        <w:t xml:space="preserve">-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חלק ממשבר עמוק יותר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הפער החוזר ונשנה אצל בני אדם בין הגוף לנפש – ‘בעיית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נפש’ הפילוסופית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rPr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אחת העמדות בשיח הפילוסופי סביב 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 היא הפיזיקליזם – העמדה המגדירה את בסיסו ההסברי של האדם כפיזיקלי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אומר הפיזיקליזם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אינו אלא תצורה מסוימת של חומר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והנפש אינה אלא תוצאה – ואף אינה דבר מעל ומעבר – לחומר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גישה אחת של הפיזיקליזם היא הפיזיקליזם הבלתי מצמצם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המכיר בקיומם של מצבים נפשיים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אך מגדיר אותם כנסמכים למצבים חומריים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לעומתו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הפיזיקליזם המצמצם שולל לחלוטין קיומם של מצבים נפשיים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וסבור שהם מצבים חומריים מסוימים בלבד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השאלה העיקרית בדיון זה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מנקודת מבטו של הפיזיקליזם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הינה טיבם של המצבים החומריים הללו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מהו המצב החומרי המוביל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למשל</w:t>
      </w:r>
      <w:r>
        <w:rPr>
          <w:i w:val="false"/>
          <w:iCs w:val="false"/>
          <w:strike w:val="false"/>
          <w:dstrike w:val="false"/>
          <w:rtl w:val="true"/>
        </w:rPr>
        <w:t xml:space="preserve">,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לדיספוריה מגדרית</w:t>
      </w:r>
      <w:r>
        <w:rPr>
          <w:i w:val="false"/>
          <w:iCs w:val="false"/>
          <w:strike w:val="false"/>
          <w:dstrike w:val="false"/>
          <w:rtl w:val="true"/>
        </w:rPr>
        <w:t>?</w:t>
      </w:r>
    </w:p>
    <w:p>
      <w:pPr>
        <w:pStyle w:val="Style14"/>
        <w:bidi w:val="1"/>
        <w:rPr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לעומתו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הדואליזם סבור כי ישנם מצבים נפשיים מובחנים מהמצבים החומריים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הלוקחים כמותם חלק במארג המציאות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הדואליזם בשלל תצורותיו סבור כי מוקד הבעיה הוא טיבם של היחסים בין אותם מצבים נפשיים למצבים חומריים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מהיכן נובע הפער בין גופם – מצבם הפיזיקלי – של הסובלים מדיספוריה 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לבין תפיסתם הנפשית בדמות זהותם המגדרית</w:t>
      </w:r>
      <w:r>
        <w:rPr>
          <w:i w:val="false"/>
          <w:iCs w:val="false"/>
          <w:strike w:val="false"/>
          <w:dstrike w:val="false"/>
          <w:rtl w:val="true"/>
        </w:rPr>
        <w:t xml:space="preserve">?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נדמה כי זוהי התפיסה הרווחת בטיפול בדיספוריה המגדרית כיום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חלקן של השיטות הטיפוליות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דוגמת פסיכותרפיה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נסובות סביב זהותם המגדרית בעיני רוחם של הלוקים בדיספוריה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וחלקן האחר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דוגמת טיפולים הורמונליים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עוסק בהיבט הפיזי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</w:p>
    <w:p>
      <w:pPr>
        <w:pStyle w:val="Style14"/>
        <w:bidi w:val="1"/>
        <w:rPr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לעניות דעתי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מצוקתם של הסובלים מדיספוריה מגדרית היא מקרה פרטי אחד מני רבים של משבר הזהות הנובע מבעיית הגוף</w:t>
      </w:r>
      <w:r>
        <w:rPr>
          <w:i w:val="false"/>
          <w:iCs w:val="false"/>
          <w:strike w:val="false"/>
          <w:dstrike w:val="false"/>
          <w:rtl w:val="true"/>
        </w:rPr>
        <w:t>-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נפש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לכן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בעיניי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השאלה הניצבת בליבו של הדיון אינה שאלה פרטנית הכרוכה במין או במגדר – אלא שאלה כוללת הכרוכה בזהותו של אדם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מתוקף מה מגדיר עצמו אדם – מתוקף גופו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 מתוקף נפשו</w:t>
      </w:r>
      <w:r>
        <w:rPr>
          <w:i w:val="false"/>
          <w:iCs w:val="false"/>
          <w:strike w:val="false"/>
          <w:dstrike w:val="false"/>
          <w:rtl w:val="true"/>
        </w:rPr>
        <w:t xml:space="preserve">?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האם היות אנושי היא חוויה גופנית – מכונה ביולוגית הפועלת בצורה מסוימת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וכופה עלינו תודעה – כשם שטוענים הפיזיקליסטים </w:t>
      </w:r>
      <w:r>
        <w:rPr>
          <w:i w:val="false"/>
          <w:iCs w:val="false"/>
          <w:strike w:val="false"/>
          <w:dstrike w:val="false"/>
          <w:rtl w:val="true"/>
        </w:rPr>
        <w:t xml:space="preserve">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 שמא היא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כשם שסוברים הדואליסטים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חוויה נפשית מובחנת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יסוד שונה הנוכח במה שאנו תופסים כגוף</w:t>
      </w:r>
      <w:r>
        <w:rPr>
          <w:i w:val="false"/>
          <w:iCs w:val="false"/>
          <w:strike w:val="false"/>
          <w:dstrike w:val="false"/>
          <w:rtl w:val="true"/>
        </w:rPr>
        <w:t xml:space="preserve">?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לדעתי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אין ביכולתנו להשיב באופן משכנע לשאלה זו – אך למרבה המזל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איננו נדרשים לכך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אבקש לטעון שההיבט המכריע</w:t>
      </w:r>
      <w:r>
        <w:rPr>
          <w:i w:val="false"/>
          <w:iCs w:val="false"/>
          <w:strike w:val="false"/>
          <w:dstrike w:val="false"/>
          <w:rtl w:val="true"/>
        </w:rPr>
        <w:t xml:space="preserve">, - 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ואולי אף הבלעדי </w:t>
      </w:r>
      <w:r>
        <w:rPr>
          <w:i w:val="false"/>
          <w:iCs w:val="false"/>
          <w:strike w:val="false"/>
          <w:dstrike w:val="false"/>
          <w:rtl w:val="true"/>
        </w:rPr>
        <w:t xml:space="preserve">-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בזהותו של אדם אינו גופני ואינו נפשי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אלא תבוני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פילוסופים רבים ייחסו לתבונה את מלוא כובד האנושיות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מכתביהם של רבים אף נדמה כי היות אנושי משמע היות תבוני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בעוד שגופינו רבים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מגוונים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ורב בהם הנסתר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על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הגלוי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והנפש נשגבת מאיתנו לחלוטין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התבונה היא הדבר המוכר והאינטימי לנו מכל</w:t>
      </w:r>
      <w:r>
        <w:rPr>
          <w:i w:val="false"/>
          <w:iCs w:val="false"/>
          <w:strike w:val="false"/>
          <w:dstrike w:val="false"/>
          <w:rtl w:val="true"/>
        </w:rPr>
        <w:t xml:space="preserve">: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אריסטו הגדיר את האדם כ</w:t>
      </w:r>
      <w:r>
        <w:rPr>
          <w:i/>
          <w:i/>
          <w:iCs/>
          <w:strike w:val="false"/>
          <w:dstrike w:val="false"/>
          <w:rtl w:val="true"/>
        </w:rPr>
        <w:t>חיה תבונית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</w:t>
      </w:r>
      <w:r>
        <w:rPr>
          <w:i w:val="false"/>
          <w:iCs w:val="false"/>
          <w:strike w:val="false"/>
          <w:dstrike w:val="false"/>
          <w:rtl w:val="true"/>
        </w:rPr>
        <w:t>(</w:t>
      </w:r>
      <w:r>
        <w:rPr>
          <w:i w:val="false"/>
          <w:iCs w:val="false"/>
          <w:strike w:val="false"/>
          <w:dstrike w:val="false"/>
        </w:rPr>
        <w:t>animal rationale</w:t>
      </w:r>
      <w:r>
        <w:rPr>
          <w:i w:val="false"/>
          <w:iCs w:val="false"/>
          <w:strike w:val="false"/>
          <w:dstrike w:val="false"/>
          <w:rtl w:val="true"/>
        </w:rPr>
        <w:t xml:space="preserve">);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דקארט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לא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בטח בדבר ב</w:t>
      </w:r>
      <w:r>
        <w:rPr>
          <w:i/>
          <w:i/>
          <w:iCs/>
          <w:strike w:val="false"/>
          <w:dstrike w:val="false"/>
          <w:rtl w:val="true"/>
        </w:rPr>
        <w:t>הגיונות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שלו זולת היותו </w:t>
      </w:r>
      <w:r>
        <w:rPr>
          <w:i w:val="false"/>
          <w:iCs w:val="false"/>
          <w:strike w:val="false"/>
          <w:dstrike w:val="false"/>
          <w:rtl w:val="true"/>
        </w:rPr>
        <w:t>"</w:t>
      </w:r>
      <w:r>
        <w:rPr>
          <w:i w:val="false"/>
          <w:i w:val="false"/>
          <w:iCs w:val="false"/>
          <w:strike w:val="false"/>
          <w:dstrike w:val="false"/>
          <w:rtl w:val="true"/>
        </w:rPr>
        <w:t>דבר חושב</w:t>
      </w:r>
      <w:r>
        <w:rPr>
          <w:i w:val="false"/>
          <w:iCs w:val="false"/>
          <w:strike w:val="false"/>
          <w:dstrike w:val="false"/>
          <w:rtl w:val="true"/>
        </w:rPr>
        <w:t xml:space="preserve">";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קאנט דורש מאיתנו להתייחס לכל אדם כתכלית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מתוקף התבונה המשותפת לכולנו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נדמה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איפוא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כי התוקף ההסברי לזהותו של האדם יימצא היכן שהתבונה שוכנת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התבונה היא כוללנית ומשותפת לכל בני 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ואינה נותנת משקל לשיקולים חומריים ונפשיים – אין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לדעתי</w:t>
      </w:r>
      <w:r>
        <w:rPr>
          <w:i w:val="false"/>
          <w:iCs w:val="false"/>
          <w:strike w:val="false"/>
          <w:dstrike w:val="false"/>
          <w:rtl w:val="true"/>
        </w:rPr>
        <w:t>, ‘</w:t>
      </w:r>
      <w:r>
        <w:rPr>
          <w:i w:val="false"/>
          <w:i w:val="false"/>
          <w:iCs w:val="false"/>
          <w:strike w:val="false"/>
          <w:dstrike w:val="false"/>
          <w:rtl w:val="true"/>
        </w:rPr>
        <w:t>תבונה גברית’ או ‘תבונה נשית’</w:t>
      </w:r>
      <w:r>
        <w:rPr>
          <w:i w:val="false"/>
          <w:iCs w:val="false"/>
          <w:strike w:val="false"/>
          <w:dstrike w:val="false"/>
          <w:rtl w:val="true"/>
        </w:rPr>
        <w:t>, ‘</w:t>
      </w:r>
      <w:r>
        <w:rPr>
          <w:i w:val="false"/>
          <w:i w:val="false"/>
          <w:iCs w:val="false"/>
          <w:strike w:val="false"/>
          <w:dstrike w:val="false"/>
          <w:rtl w:val="true"/>
        </w:rPr>
        <w:t>תבונה כאובה’ או ‘תבונה שמחה’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יותר מכל מצב נפשי או פיזי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צלם האנוש שוכן בתבונתנו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p>
      <w:pPr>
        <w:pStyle w:val="Style14"/>
        <w:bidi w:val="1"/>
        <w:rPr/>
      </w:pPr>
      <w:r>
        <w:rPr>
          <w:i w:val="false"/>
          <w:iCs w:val="false"/>
          <w:strike w:val="false"/>
          <w:dstrike w:val="false"/>
          <w:rtl w:val="true"/>
        </w:rPr>
        <w:tab/>
      </w:r>
      <w:r>
        <w:rPr>
          <w:i w:val="false"/>
          <w:i w:val="false"/>
          <w:iCs w:val="false"/>
          <w:strike w:val="false"/>
          <w:dstrike w:val="false"/>
          <w:rtl w:val="true"/>
        </w:rPr>
        <w:t>בעוד שעמדה זו ודאי צורמת לאוזניים רבות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ניתן למצוא אותה גם בשיח היומיומי ו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</w:t>
      </w:r>
      <w:r>
        <w:rPr>
          <w:i w:val="false"/>
          <w:i w:val="false"/>
          <w:iCs w:val="false"/>
          <w:strike w:val="false"/>
          <w:dstrike w:val="false"/>
          <w:rtl w:val="true"/>
        </w:rPr>
        <w:t>פילוסופי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המנהג הפילוסופי הוא להתייחס לפילוסופים בלשון הווה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ולא בכדי – יכולתם לשכול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להסיק ולחקור שורדת הן את גופם והן את נפשם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אריסטותאלס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מת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 למעלה מאלפיים שנה – אך תבונתו נוכחת בכל מקום בו עוסקים בפילוסופיה כמעט כאילו זה עתה יצא מהחדר</w:t>
      </w:r>
      <w:r>
        <w:rPr>
          <w:i w:val="false"/>
          <w:iCs w:val="false"/>
          <w:strike w:val="false"/>
          <w:dstrike w:val="false"/>
          <w:rtl w:val="true"/>
        </w:rPr>
        <w:t xml:space="preserve">;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כה חזקה היא התבונה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אפילו בביטויים לשוניים השגורים בפי כל </w:t>
      </w:r>
      <w:r>
        <w:rPr>
          <w:i w:val="false"/>
          <w:iCs w:val="false"/>
          <w:strike w:val="false"/>
          <w:dstrike w:val="false"/>
          <w:rtl w:val="true"/>
        </w:rPr>
        <w:t>(‘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המוזיקה</w:t>
      </w:r>
      <w:r>
        <w:rPr>
          <w:i w:val="false"/>
          <w:iCs w:val="false"/>
          <w:strike w:val="false"/>
          <w:dstrike w:val="false"/>
          <w:rtl w:val="true"/>
        </w:rPr>
        <w:t>\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אומנות</w:t>
      </w:r>
      <w:r>
        <w:rPr>
          <w:i w:val="false"/>
          <w:iCs w:val="false"/>
          <w:strike w:val="false"/>
          <w:dstrike w:val="false"/>
          <w:rtl w:val="true"/>
        </w:rPr>
        <w:t>\</w:t>
      </w:r>
      <w:r>
        <w:rPr>
          <w:i w:val="false"/>
          <w:i w:val="false"/>
          <w:iCs w:val="false"/>
          <w:strike w:val="false"/>
          <w:dstrike w:val="false"/>
          <w:rtl w:val="true"/>
        </w:rPr>
        <w:t>מורשת של…’</w:t>
      </w:r>
      <w:r>
        <w:rPr>
          <w:i w:val="false"/>
          <w:iCs w:val="false"/>
          <w:strike w:val="false"/>
          <w:dstrike w:val="false"/>
          <w:rtl w:val="true"/>
        </w:rPr>
        <w:t xml:space="preserve">),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ניכרת הנחה זו – עצם קיום גופו </w:t>
      </w:r>
      <w:r>
        <w:rPr>
          <w:i w:val="false"/>
          <w:iCs w:val="false"/>
          <w:strike w:val="false"/>
          <w:dstrike w:val="false"/>
          <w:rtl w:val="true"/>
        </w:rPr>
        <w:t>(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וכיוצא בזאת נפשו</w:t>
      </w:r>
      <w:r>
        <w:rPr>
          <w:i w:val="false"/>
          <w:iCs w:val="false"/>
          <w:strike w:val="false"/>
          <w:dstrike w:val="false"/>
          <w:rtl w:val="true"/>
        </w:rPr>
        <w:t xml:space="preserve">)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של האדם אינו משחק תפקיד בזהות שמותיר אחריו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אילו יש למצבים נפשיים וחומריים חשיבות כלשהי בשאלת זהותו של האדם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הרי שזו אינה טמונה אלא בהשפעתם על התבונה</w:t>
      </w:r>
      <w:r>
        <w:rPr>
          <w:i w:val="false"/>
          <w:iCs w:val="false"/>
          <w:strike w:val="false"/>
          <w:dstrike w:val="false"/>
          <w:rtl w:val="true"/>
        </w:rPr>
        <w:t xml:space="preserve">.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כיוצא בזאת</w:t>
      </w:r>
      <w:r>
        <w:rPr>
          <w:i w:val="false"/>
          <w:iCs w:val="false"/>
          <w:strike w:val="false"/>
          <w:dstrike w:val="false"/>
          <w:rtl w:val="true"/>
        </w:rPr>
        <w:t xml:space="preserve">, </w:t>
      </w:r>
      <w:r>
        <w:rPr>
          <w:i w:val="false"/>
          <w:i w:val="false"/>
          <w:iCs w:val="false"/>
          <w:strike w:val="false"/>
          <w:dstrike w:val="false"/>
          <w:rtl w:val="true"/>
        </w:rPr>
        <w:t xml:space="preserve">הדיון סביב הדיספוריה המגדרית משיל את תוקפו הפילוסופי ונחשף במערומיו כדיון פוליטי חברתי </w:t>
      </w:r>
      <w:r>
        <w:rPr>
          <w:i w:val="false"/>
          <w:iCs w:val="false"/>
          <w:strike w:val="false"/>
          <w:dstrike w:val="false"/>
          <w:rtl w:val="true"/>
        </w:rPr>
        <w:t xml:space="preserve">- </w:t>
      </w:r>
      <w:r>
        <w:rPr>
          <w:i w:val="false"/>
          <w:i w:val="false"/>
          <w:iCs w:val="false"/>
          <w:strike w:val="false"/>
          <w:dstrike w:val="false"/>
          <w:rtl w:val="true"/>
        </w:rPr>
        <w:t>ועלינו להתייחס אליו ככזה</w:t>
      </w:r>
      <w:r>
        <w:rPr>
          <w:i w:val="false"/>
          <w:iCs w:val="false"/>
          <w:strike w:val="false"/>
          <w:dstrike w:val="false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8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Style14">
    <w:name w:val="אקדמי"/>
    <w:basedOn w:val="Normal"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542</TotalTime>
  <Application>LibreOffice/7.5.2.2$Linux_X86_64 LibreOffice_project/50$Build-2</Application>
  <AppVersion>15.0000</AppVersion>
  <Pages>2</Pages>
  <Words>986</Words>
  <Characters>4943</Characters>
  <CharactersWithSpaces>5958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2023-04-24T19:24:16Z</dcterms:created>
  <dc:creator/>
  <dc:description/>
  <dc:language>en-US</dc:language>
  <cp:lastModifiedBy/>
  <dcterms:modified xsi:type="dcterms:W3CDTF">2023-04-27T11:00:23Z</dcterms:modified>
  <cp:revision>76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