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bidi w:val="1"/>
        <w:spacing w:before="0" w:after="0"/>
        <w:contextualSpacing/>
        <w:jc w:val="left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במאמרו </w:t>
      </w:r>
      <w:r>
        <w:rPr>
          <w:rFonts w:cs="David Libre"/>
          <w:sz w:val="24"/>
          <w:szCs w:val="24"/>
          <w:u w:val="none"/>
        </w:rPr>
        <w:t>The Supervenience Argument Motivated, Clarified and Defended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הפילוסוף יעגוון קים טוען בעדו של הפיזיקליזם הבלתי</w:t>
      </w:r>
      <w:r>
        <w:rPr>
          <w:rFonts w:cs="David Libr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מצמצם – הטוען כי מצבים פיזיקליים הינם הסיבה הבלעדית הן למצבים נפשיים והן למצבים פיזיקליים על בסיס נסמכותם למצבים נפשיים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כלומר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מצבים נפשיים – חרף היעדר היכולת לצמצמם לכדי מצבים פיזיקליים – אינם יכולים לגרום לא למצבים פיזיקליים ולא למצבים נפשיים ללא עזר במצבים פיזיקליים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לאחר שמבסס את יכולתם של מצבים נפשיים לגרום הן למצבים פיזיקליים והן למצבים פיזיקליים שונים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קים מכביר לטעון כי הקשר הסיבתי הבלעדי הינו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למעשה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פיזיקלי – המתרחש בו בזמן למצב הנפשי אשר נסמך עליו 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קים ממשיך להגן על הפיזיקליזם הבלתי</w:t>
      </w:r>
      <w:r>
        <w:rPr>
          <w:rFonts w:cs="David Libr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מצמצם מול בעיית קביעת היתר </w:t>
      </w:r>
      <w:r>
        <w:rPr>
          <w:rFonts w:cs="David Libre"/>
          <w:sz w:val="24"/>
          <w:szCs w:val="24"/>
          <w:u w:val="none"/>
          <w:rtl w:val="true"/>
        </w:rPr>
        <w:t>(</w:t>
      </w:r>
      <w:r>
        <w:rPr>
          <w:rFonts w:cs="David Libre"/>
          <w:sz w:val="24"/>
          <w:szCs w:val="24"/>
          <w:u w:val="none"/>
        </w:rPr>
        <w:t>overdetermination</w:t>
      </w:r>
      <w:r>
        <w:rPr>
          <w:rFonts w:cs="David Libre"/>
          <w:sz w:val="24"/>
          <w:szCs w:val="24"/>
          <w:u w:val="none"/>
          <w:rtl w:val="true"/>
        </w:rPr>
        <w:t xml:space="preserve">) –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המצב הבלתי</w:t>
      </w:r>
      <w:r>
        <w:rPr>
          <w:rFonts w:cs="David Libr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אפשרי שבו מצב יחיד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בין שפיזיקלי ובין שנפשי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נקבע על ידי יותר מגורם סיבתי אחד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קים שולל תרחיש זה על בסיסה של הנסמכות נפשית</w:t>
      </w:r>
      <w:r>
        <w:rPr>
          <w:rFonts w:cs="David Libr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פיזיקלית – כלומר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הופעתו של מצב נפשי כופה את הופעתו של המצב הפיזיקלי עליו הוא נסמך – ואותו המצב הפיזיקלי הוא זה הגורם למצב נפשי חדש</w:t>
      </w:r>
      <w:r>
        <w:rPr>
          <w:rFonts w:cs="David Libre"/>
          <w:sz w:val="24"/>
          <w:szCs w:val="24"/>
          <w:u w:val="none"/>
          <w:rtl w:val="true"/>
        </w:rPr>
        <w:t>.</w:t>
      </w:r>
    </w:p>
    <w:p>
      <w:pPr>
        <w:pStyle w:val="Style13"/>
        <w:bidi w:val="1"/>
        <w:spacing w:before="0" w:after="0"/>
        <w:contextualSpacing/>
        <w:jc w:val="left"/>
        <w:rPr>
          <w:rFonts w:ascii="Times New Roman" w:hAnsi="Times New Roman" w:cs="David Libre"/>
          <w:sz w:val="24"/>
          <w:szCs w:val="24"/>
          <w:u w:val="none"/>
        </w:rPr>
      </w:pPr>
      <w:r>
        <w:rPr>
          <w:rFonts w:cs="David Libre"/>
          <w:sz w:val="24"/>
          <w:szCs w:val="24"/>
          <w:u w:val="none"/>
          <w:rtl w:val="true"/>
        </w:rPr>
        <w:tab/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בעוד שקים טוען טענות חזקות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אותן אני מקבל במלואן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אני מרגיש שהמאמר אינו מצדיק די הצורך את הנחת הסמיכות עליה הוא שעון – לפיה מצבים נפשיים נסמכים בהכרח על מצבים פיזיקליים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למעשה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קים רק מציין הנחה זו בראשית הטיעון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וממשיך לטעון על בסיסה אף בהיעדר ההסבר או הדוגמא הבסיסיים ביותר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בעוד שהנחתה אינטואיטיבית למדי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נדמה לי כי סמיכות זו אינה דבר פעוט הניתן להניח כמובן מאליו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ונדרש מאמץ כלשהו לטעון בעדה – וציונה כפי שהיא בהנחה שנקבלה אינו מספיק</w:t>
      </w:r>
      <w:r>
        <w:rPr>
          <w:rFonts w:cs="David Libre"/>
          <w:sz w:val="24"/>
          <w:szCs w:val="24"/>
          <w:u w:val="none"/>
          <w:rtl w:val="true"/>
        </w:rPr>
        <w:t xml:space="preserve">.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כמו כן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בקריאת המאמר</w:t>
      </w:r>
      <w:r>
        <w:rPr>
          <w:rFonts w:cs="David Libre"/>
          <w:sz w:val="24"/>
          <w:szCs w:val="24"/>
          <w:u w:val="none"/>
          <w:rtl w:val="true"/>
        </w:rPr>
        <w:t xml:space="preserve">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 xml:space="preserve">נהניתי במיוחד מאזכור המימרה של אדווארדס </w:t>
      </w:r>
      <w:r>
        <w:rPr>
          <w:rFonts w:cs="David Libre"/>
          <w:sz w:val="24"/>
          <w:szCs w:val="24"/>
          <w:u w:val="none"/>
          <w:rtl w:val="true"/>
        </w:rPr>
        <w:t>(</w:t>
      </w:r>
      <w:r>
        <w:rPr>
          <w:rFonts w:cs="David Libre"/>
          <w:sz w:val="24"/>
          <w:szCs w:val="24"/>
          <w:u w:val="none"/>
        </w:rPr>
        <w:t>Edward’s Dictum</w:t>
      </w:r>
      <w:r>
        <w:rPr>
          <w:rFonts w:cs="David Libre"/>
          <w:sz w:val="24"/>
          <w:szCs w:val="24"/>
          <w:u w:val="none"/>
          <w:rtl w:val="true"/>
        </w:rPr>
        <w:t xml:space="preserve">),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המהווה בעיניי טיעון יוצא דופן בעדו של הפיזיקליזם הבלתי</w:t>
      </w:r>
      <w:r>
        <w:rPr>
          <w:rFonts w:cs="David Libre"/>
          <w:sz w:val="24"/>
          <w:szCs w:val="24"/>
          <w:u w:val="none"/>
          <w:rtl w:val="true"/>
        </w:rPr>
        <w:t>-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מצמצם</w:t>
      </w:r>
      <w:r>
        <w:rPr>
          <w:rFonts w:cs="David Libre"/>
          <w:sz w:val="24"/>
          <w:szCs w:val="24"/>
          <w:u w:val="none"/>
          <w:rtl w:val="true"/>
        </w:rPr>
        <w:t xml:space="preserve">: </w:t>
      </w:r>
      <w:r>
        <w:rPr>
          <w:rFonts w:ascii="Times New Roman" w:hAnsi="Times New Roman"/>
          <w:sz w:val="24"/>
          <w:sz w:val="24"/>
          <w:szCs w:val="24"/>
          <w:u w:val="none"/>
          <w:rtl w:val="true"/>
        </w:rPr>
        <w:t>הגדרתם של מצבים נפשיים ככאלו המתקיימים הודות למצבים הפיזיקליים מתבקשת במיוחד לאורה של זו</w:t>
      </w:r>
      <w:r>
        <w:rPr>
          <w:rFonts w:cs="David Libre"/>
          <w:sz w:val="24"/>
          <w:szCs w:val="24"/>
          <w:u w:val="none"/>
          <w:rtl w:val="true"/>
        </w:rPr>
        <w:t>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swiss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EndnoteCharacters">
    <w:name w:val="Endnote Characters"/>
    <w:qFormat/>
    <w:rPr/>
  </w:style>
  <w:style w:type="character" w:styleId="EndnoteAnchor">
    <w:name w:val="Endnote Reference"/>
    <w:rPr>
      <w:vertAlign w:val="superscript"/>
    </w:rPr>
  </w:style>
  <w:style w:type="character" w:styleId="FootnoteCharacters">
    <w:name w:val="Footnote Characters"/>
    <w:qFormat/>
    <w:rPr/>
  </w:style>
  <w:style w:type="character" w:styleId="FootnoteAnchor">
    <w:name w:val="Foot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1"/>
      <w:spacing w:lineRule="auto" w:line="360" w:before="0" w:after="0"/>
      <w:ind w:left="0" w:right="0" w:firstLine="58"/>
      <w:contextualSpacing/>
      <w:jc w:val="left"/>
    </w:pPr>
    <w:rPr>
      <w:rFonts w:ascii="Times New Roman" w:hAnsi="Times New Roman" w:cs="David Libre"/>
      <w:sz w:val="24"/>
      <w:szCs w:val="24"/>
      <w:u w:val="none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paragraph" w:styleId="Endnote">
    <w:name w:val="End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20</TotalTime>
  <Application>LibreOffice/7.5.1.2$Linux_X86_64 LibreOffice_project/50$Build-2</Application>
  <AppVersion>15.0000</AppVersion>
  <Pages>1</Pages>
  <Words>262</Words>
  <Characters>1337</Characters>
  <CharactersWithSpaces>1607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2023-03-26T20:15:59Z</dcterms:created>
  <dc:creator/>
  <dc:description/>
  <dc:language>en-US</dc:language>
  <cp:lastModifiedBy/>
  <dcterms:modified xsi:type="dcterms:W3CDTF">2023-03-26T20:36:57Z</dcterms:modified>
  <cp:revision>1</cp:revision>
  <dc:subject/>
  <dc:title/>
</cp:coreProperties>
</file>