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bidi w:val="1"/>
        <w:spacing w:lineRule="auto" w:line="360"/>
        <w:ind w:left="810" w:right="0" w:hanging="0"/>
        <w:jc w:val="both"/>
        <w:rPr/>
      </w:pP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בשירו </w:t>
      </w:r>
      <w:r>
        <w:rPr>
          <w:rFonts w:ascii="David" w:hAnsi="David" w:cs="David"/>
          <w:b w:val="false"/>
          <w:b w:val="false"/>
          <w:bCs w:val="false"/>
          <w:i/>
          <w:i/>
          <w:iCs/>
          <w:sz w:val="24"/>
          <w:sz w:val="24"/>
          <w:szCs w:val="24"/>
          <w:rtl w:val="true"/>
        </w:rPr>
        <w:t>על הטבע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הפילוסוף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פארמנידס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מאליאה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טוען שההוויה היא אחת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נצחית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אחידה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שלמה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ובלתי משתנה</w:t>
      </w:r>
      <w:r>
        <w:rPr>
          <w:rStyle w:val="FootnoteAnchor"/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footnoteReference w:id="2"/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– ושומט תחת רגלינו את הריבוי והשינוי בעולם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בצל השלכות הטיעון החזק של פארמנידס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,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פילוסופים רבים הגו בטיב השינוי מזווי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 חומרי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 או מופשט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ת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בחיבור זה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אציג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כמה מההגויות האלו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-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את ניסיונו של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הפילוסוף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אמפדוקלס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מאקראגאס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ל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יישב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את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ההוויה הפרמינדאית עם השינוי בעולם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הגותו המופשטת של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הפילוסוף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היראקליטוס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מאפסוס אודות השינוי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וזו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החומרית של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הפילוסופים האטומיסטים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לויקיפוס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ממילטוס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 ודימוקריטוס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 xml:space="preserve">מאבדרה 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i w:val="false"/>
          <w:i w:val="false"/>
          <w:iCs w:val="false"/>
          <w:sz w:val="24"/>
          <w:sz w:val="24"/>
          <w:szCs w:val="24"/>
          <w:rtl w:val="true"/>
        </w:rPr>
        <w:t>ואעמוד על הדימיון בין הגותם של היראקליטוס והאטומיסטים</w:t>
      </w: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both"/>
        <w:rPr/>
      </w:pPr>
      <w:r>
        <w:rPr>
          <w:rFonts w:cs="David" w:ascii="David" w:hAnsi="David"/>
          <w:b w:val="false"/>
          <w:bCs w:val="false"/>
          <w:i w:val="false"/>
          <w:iCs w:val="false"/>
          <w:sz w:val="24"/>
          <w:szCs w:val="24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אמפדוקלס מנסה ליישב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בתורתו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את מסקנתו של פארמנידס עם השינוי שאנחנו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חווים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בעולם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את טענת פארמנידס ש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מה ש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ההוויה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נצחי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ת ושלמה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הוא מקבל עליו ללא עוררין</w:t>
      </w:r>
      <w:r>
        <w:rPr>
          <w:rStyle w:val="FootnoteAnchor"/>
          <w:rFonts w:ascii="David" w:hAnsi="David" w:cs="David"/>
          <w:b/>
          <w:b/>
          <w:bCs/>
          <w:sz w:val="24"/>
          <w:sz w:val="24"/>
          <w:szCs w:val="24"/>
          <w:rtl w:val="true"/>
        </w:rPr>
        <w:footnoteReference w:id="3"/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מנגד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הוא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דוחה את אחידותה ובלעדיותה של ההוויה הפרמינדאית בטענה שההוויה היא ערבוב ופרידה של ריבוי יסודות חומריים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וכוחות המופעלים עליהם</w:t>
      </w:r>
      <w:r>
        <w:rPr>
          <w:rStyle w:val="FootnoteAnchor"/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footnoteReference w:id="4"/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אמפדוקלס טוען לארבע יסודות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נצחיים ובלתי מוגבלים – מים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אוויר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אדמה ואש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המתופעלים בידי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זוג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כוחות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הופכיים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– האהבה והשנאה – שהערבוב של אלו באמצעות אלה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ביחס 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>(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לוגוס </w:t>
      </w:r>
      <w:bookmarkStart w:id="0" w:name="firstHeading1"/>
      <w:bookmarkEnd w:id="0"/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- </w:t>
      </w:r>
      <w:r>
        <w:rPr>
          <w:rFonts w:eastAsia="Nimbus Sans" w:cs="David" w:ascii="David" w:hAnsi="David"/>
          <w:b w:val="false"/>
          <w:bCs w:val="false"/>
          <w:i w:val="false"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λόγος - Logos</w:t>
      </w:r>
      <w:r>
        <w:rPr>
          <w:rFonts w:cs="David" w:ascii="David" w:hAnsi="David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  <w:rtl w:val="true"/>
        </w:rPr>
        <w:t>)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כזה או אחר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יוצר את השונות שאנחנו חווים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בתורה זו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אמפדוקלס נאמן לעקרונות העיקריים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מהגותו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של פארמינדס – גם ההוויה שלו נצחית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בלתי מוגבלת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ואינה מגיעה מ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ן 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ריק – אך היא מתיימרת לאפשר גם את השונות שפארמנידס שולל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both"/>
        <w:rPr/>
      </w:pP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היראקליטוס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מציב דווקא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את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השינוי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במרכז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וטוען שההוויה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כולה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שינוי בלתי פוסק ונטול סתירות – כל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מה שישנו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וא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אותו הדבר ובו בזמן שונה</w:t>
      </w:r>
      <w:r>
        <w:rPr>
          <w:rStyle w:val="FootnoteAnchor"/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footnoteReference w:id="5"/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בעיניו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הקבוע מגיע מן השינוי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וההוויה אחידה ונצחית משום שבשינוי אין סתירה – דבר שאנו יכולים לתפוס רק בקושי רב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גם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בדברי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האטומיסטים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לויקיפוס ודמוקריטוס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ההוויה מורכבת מהיעדר סתירה שכזו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היקום מורכב בו בזמן מן הריק ומן מה שישנו 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החומר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בדמותם של האטומים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היוצרים בתנועתם את העולמות שאנו חווים</w:t>
      </w:r>
      <w:r>
        <w:rPr>
          <w:rStyle w:val="FootnoteAnchor"/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footnoteReference w:id="6"/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האטומים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נעים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במערבולת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ההתנגשויות וההתלכדויות ביניהם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ן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שיוצרות את הריבוי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החומר והנפש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שאנחנו חווים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.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שתי התפיסות האלו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מציבות את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השינוי בבסיס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העולם שאנו חווים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בין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שהוא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נובע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בלוגוס 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>(</w:t>
      </w:r>
      <w:bookmarkStart w:id="1" w:name="firstHeading"/>
      <w:bookmarkEnd w:id="1"/>
      <w:r>
        <w:rPr>
          <w:rFonts w:eastAsia="Nimbus Sans" w:cs="David" w:ascii="David" w:hAnsi="David"/>
          <w:b w:val="false"/>
          <w:bCs w:val="false"/>
          <w:i w:val="false"/>
          <w:caps w:val="false"/>
          <w:smallCaps w:val="false"/>
          <w:color w:val="auto"/>
          <w:spacing w:val="0"/>
          <w:kern w:val="2"/>
          <w:sz w:val="24"/>
          <w:szCs w:val="24"/>
          <w:lang w:val="en-US" w:eastAsia="zh-CN" w:bidi="hi-IN"/>
        </w:rPr>
        <w:t>λόγος - Logos</w:t>
      </w:r>
      <w:r>
        <w:rPr>
          <w:rFonts w:cs="David" w:ascii="David" w:hAnsi="David"/>
          <w:b w:val="false"/>
          <w:bCs w:val="false"/>
          <w:i w:val="false"/>
          <w:caps w:val="false"/>
          <w:smallCaps w:val="false"/>
          <w:color w:val="000000"/>
          <w:spacing w:val="0"/>
          <w:sz w:val="24"/>
          <w:szCs w:val="24"/>
          <w:rtl w:val="true"/>
        </w:rPr>
        <w:t>)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הקוסמי כפי שסבור היראקליטוס ובין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ש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נובע מתנועתם האקראית של האטומים כפי שסבורים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לויקיפוס ודמוקריטוס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both"/>
        <w:rPr/>
      </w:pP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ab/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בחיבור זה סקרתי כמה מ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הניסיונות להתמודד עם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וויה הבלתי משתנה הטוען לה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פארמנידס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החל באמפקדוקלס – שהציב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בבסיסה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ריבוי יסודות חומריים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דרך היראקליטוס 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שהציב את השינוי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והיעדר הסתירה שבו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 כעיקרון היסוד של הקוסמוס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,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ועד ההוגים האטומיסטים לויקיפוס ודמוקריטוס 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 xml:space="preserve">-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שהציבו במרכז את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הריק ואת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 xml:space="preserve">החומר בדמותו </w:t>
      </w:r>
      <w:r>
        <w:rPr>
          <w:rFonts w:ascii="David" w:hAnsi="David" w:cs="David"/>
          <w:b w:val="false"/>
          <w:b w:val="false"/>
          <w:bCs w:val="false"/>
          <w:sz w:val="24"/>
          <w:sz w:val="24"/>
          <w:szCs w:val="24"/>
          <w:rtl w:val="true"/>
        </w:rPr>
        <w:t>של האטום כהסבר לעולם המוחשי</w:t>
      </w:r>
      <w:r>
        <w:rPr>
          <w:rFonts w:cs="David" w:ascii="David" w:hAnsi="David"/>
          <w:b w:val="false"/>
          <w:bCs w:val="false"/>
          <w:sz w:val="24"/>
          <w:szCs w:val="24"/>
          <w:rtl w:val="true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 CLM" w:hAnsi="David CLM"/>
          <w:b/>
          <w:b/>
          <w:bCs/>
          <w:u w:val="single"/>
        </w:rPr>
      </w:pPr>
      <w:r>
        <w:rPr>
          <w:rFonts w:ascii="David CLM" w:hAnsi="David CLM"/>
          <w:b/>
          <w:bCs/>
          <w:u w:val="single"/>
          <w:rtl w:val="true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>
          <w:rFonts w:ascii="David CLM" w:hAnsi="David CLM"/>
          <w:b/>
          <w:b/>
          <w:bCs/>
          <w:u w:val="single"/>
        </w:rPr>
      </w:pPr>
      <w:r>
        <w:rPr>
          <w:rFonts w:ascii="David" w:hAnsi="David" w:eastAsia="Nimbus Sans" w:cs="David"/>
          <w:b/>
          <w:b/>
          <w:bCs/>
          <w:color w:val="auto"/>
          <w:kern w:val="2"/>
          <w:sz w:val="24"/>
          <w:sz w:val="24"/>
          <w:szCs w:val="24"/>
          <w:u w:val="single"/>
          <w:rtl w:val="true"/>
          <w:lang w:val="en-US" w:eastAsia="zh-CN" w:bidi="hi-IN"/>
        </w:rPr>
        <w:t>ביבליוגרפיה</w:t>
      </w:r>
    </w:p>
    <w:p>
      <w:pPr>
        <w:pStyle w:val="Normal"/>
        <w:bidi w:val="1"/>
        <w:spacing w:lineRule="auto" w:line="360"/>
        <w:ind w:right="0" w:hanging="0"/>
        <w:jc w:val="center"/>
        <w:rPr>
          <w:rFonts w:ascii="David" w:hAnsi="David" w:eastAsia="Nimbus Sans" w:cs="David"/>
          <w:b/>
          <w:b/>
          <w:bCs/>
          <w:color w:val="auto"/>
          <w:kern w:val="2"/>
          <w:sz w:val="24"/>
          <w:szCs w:val="24"/>
          <w:u w:val="single"/>
          <w:lang w:val="en-US" w:eastAsia="zh-CN" w:bidi="hi-IN"/>
        </w:rPr>
      </w:pPr>
      <w:r>
        <w:rPr>
          <w:rtl w:val="true"/>
        </w:rPr>
      </w:r>
    </w:p>
    <w:p>
      <w:pPr>
        <w:pStyle w:val="Normal"/>
        <w:bidi w:val="1"/>
        <w:spacing w:lineRule="auto" w:line="360"/>
        <w:ind w:right="0" w:hanging="0"/>
        <w:jc w:val="center"/>
        <w:rPr/>
      </w:pP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שקולניקוב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ascii="David" w:hAnsi="David" w:eastAsia="Nimbus Sans" w:cs="David"/>
          <w:b w:val="false"/>
          <w:b w:val="false"/>
          <w:b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שמואל</w:t>
      </w:r>
      <w:r>
        <w:rPr>
          <w:rFonts w:eastAsia="Nimbus Sans" w:cs="David" w:ascii="David" w:hAnsi="David"/>
          <w:b w:val="false"/>
          <w:b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/>
          <w:i/>
          <w:iCs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היראקליטוס ופארמנידס – עדויות ופרגמנטים</w:t>
      </w:r>
      <w:r>
        <w:rPr>
          <w:rFonts w:eastAsia="Nimbus Sans" w:cs="David" w:ascii="David" w:hAnsi="David"/>
          <w:b w:val="false"/>
          <w:bCs w:val="false"/>
          <w:i/>
          <w:iCs/>
          <w:color w:val="auto"/>
          <w:kern w:val="2"/>
          <w:sz w:val="24"/>
          <w:szCs w:val="24"/>
          <w:rtl w:val="true"/>
          <w:lang w:val="en-US" w:eastAsia="zh-CN" w:bidi="hi-IN"/>
        </w:rPr>
        <w:t xml:space="preserve">.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ירושלים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: </w:t>
      </w:r>
      <w:r>
        <w:rPr>
          <w:rFonts w:ascii="David" w:hAnsi="David" w:eastAsia="Nimbus Sans" w:cs="David"/>
          <w:b w:val="false"/>
          <w:b w:val="false"/>
          <w:bCs w:val="false"/>
          <w:i w:val="false"/>
          <w:i w:val="false"/>
          <w:iCs w:val="false"/>
          <w:color w:val="auto"/>
          <w:kern w:val="2"/>
          <w:sz w:val="24"/>
          <w:sz w:val="24"/>
          <w:szCs w:val="24"/>
          <w:rtl w:val="true"/>
          <w:lang w:val="en-US" w:eastAsia="zh-CN" w:bidi="hi-IN"/>
        </w:rPr>
        <w:t>מוסד ביאליק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 xml:space="preserve">, 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lang w:val="en-US" w:eastAsia="zh-CN" w:bidi="hi-IN"/>
        </w:rPr>
        <w:t>1988</w:t>
      </w:r>
      <w:r>
        <w:rPr>
          <w:rFonts w:eastAsia="Nimbus Sans" w:cs="David" w:ascii="David" w:hAnsi="David"/>
          <w:b w:val="false"/>
          <w:bCs w:val="false"/>
          <w:i w:val="false"/>
          <w:iCs w:val="false"/>
          <w:color w:val="auto"/>
          <w:kern w:val="2"/>
          <w:sz w:val="24"/>
          <w:szCs w:val="24"/>
          <w:rtl w:val="true"/>
          <w:lang w:val="en-US" w:eastAsia="zh-CN" w:bidi="hi-IN"/>
        </w:rPr>
        <w:t>.</w:t>
      </w:r>
    </w:p>
    <w:p>
      <w:pPr>
        <w:pStyle w:val="Normal"/>
        <w:bidi w:val="1"/>
        <w:spacing w:lineRule="auto" w:line="360"/>
        <w:ind w:left="810" w:right="0" w:hanging="0"/>
        <w:jc w:val="center"/>
        <w:rPr/>
      </w:pPr>
      <w:r>
        <w:rPr>
          <w:rtl w:val="true"/>
        </w:rPr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/>
          <w:i w:val="false"/>
          <w:i w:val="false"/>
          <w:iCs w:val="false"/>
          <w:sz w:val="24"/>
          <w:szCs w:val="24"/>
        </w:rPr>
      </w:pPr>
      <w:r>
        <w:rPr>
          <w:rFonts w:eastAsia="Nimbus Sans" w:cs="David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Curd, Patri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cia. </w:t>
      </w:r>
      <w:r>
        <w:rPr>
          <w:rFonts w:eastAsia="Nimbus Sans" w:cs="FreeSans" w:ascii="David Libre" w:hAnsi="David Libre"/>
          <w:b w:val="false"/>
          <w:bCs w:val="false"/>
          <w:i/>
          <w:iCs/>
          <w:color w:val="auto"/>
          <w:kern w:val="2"/>
          <w:sz w:val="24"/>
          <w:szCs w:val="24"/>
          <w:u w:val="none"/>
          <w:lang w:val="en-US" w:eastAsia="zh-CN" w:bidi="hi-IN"/>
        </w:rPr>
        <w:t>A Presocratics Reader  - Selected Fragments and Testimonia – second edition.</w:t>
      </w: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 xml:space="preserve"> Translations: Richard D. McKirahan, Patricia Curd. </w:t>
      </w:r>
    </w:p>
    <w:p>
      <w:pPr>
        <w:pStyle w:val="Normal"/>
        <w:bidi w:val="0"/>
        <w:spacing w:lineRule="auto" w:line="360"/>
        <w:ind w:right="0" w:hanging="0"/>
        <w:jc w:val="center"/>
        <w:rPr>
          <w:rFonts w:ascii="David Libre" w:hAnsi="David Libre"/>
          <w:i w:val="false"/>
          <w:i w:val="false"/>
          <w:iCs w:val="false"/>
          <w:sz w:val="24"/>
          <w:szCs w:val="24"/>
        </w:rPr>
      </w:pPr>
      <w:r>
        <w:rPr>
          <w:rFonts w:eastAsia="Nimbus Sans" w:cs="FreeSans" w:ascii="David Libre" w:hAnsi="David Libre"/>
          <w:b w:val="false"/>
          <w:bCs w:val="false"/>
          <w:i w:val="false"/>
          <w:iCs w:val="false"/>
          <w:color w:val="auto"/>
          <w:kern w:val="2"/>
          <w:sz w:val="24"/>
          <w:szCs w:val="24"/>
          <w:u w:val="none"/>
          <w:lang w:val="en-US" w:eastAsia="zh-CN" w:bidi="hi-IN"/>
        </w:rPr>
        <w:t>Indianapolis: Hackett Publishing Company, 2011.</w:t>
      </w:r>
    </w:p>
    <w:p>
      <w:pPr>
        <w:pStyle w:val="Normal"/>
        <w:bidi w:val="0"/>
        <w:spacing w:lineRule="auto" w:line="360"/>
        <w:ind w:left="810" w:right="0" w:hanging="0"/>
        <w:jc w:val="center"/>
        <w:rPr>
          <w:rFonts w:eastAsia="Nimbus Sans" w:cs="FreeSans"/>
          <w:b w:val="false"/>
          <w:b w:val="false"/>
          <w:bCs w:val="false"/>
          <w:color w:val="auto"/>
          <w:kern w:val="2"/>
          <w:u w:val="none"/>
          <w:lang w:val="en-US" w:eastAsia="zh-CN" w:bidi="hi-IN"/>
        </w:rPr>
      </w:pPr>
      <w:r>
        <w:rPr>
          <w:rFonts w:ascii="David Libre" w:hAnsi="David Libre"/>
          <w:i w:val="false"/>
          <w:iCs w:val="false"/>
          <w:sz w:val="24"/>
          <w:szCs w:val="24"/>
        </w:rPr>
      </w:r>
    </w:p>
    <w:p>
      <w:pPr>
        <w:pStyle w:val="Normal"/>
        <w:bidi w:val="1"/>
        <w:spacing w:lineRule="auto" w:line="360"/>
        <w:ind w:left="810" w:right="0" w:hanging="0"/>
        <w:jc w:val="center"/>
        <w:rPr/>
      </w:pPr>
      <w:r>
        <w:rPr>
          <w:rtl w:val="true"/>
        </w:rPr>
      </w:r>
    </w:p>
    <w:sectPr>
      <w:headerReference w:type="default" r:id="rId2"/>
      <w:footnotePr>
        <w:numFmt w:val="decimal"/>
      </w:footnotePr>
      <w:type w:val="nextPage"/>
      <w:pgSz w:w="12240" w:h="15840"/>
      <w:pgMar w:left="1134" w:right="1134" w:gutter="0" w:header="1134" w:top="1687" w:footer="0" w:bottom="1134"/>
      <w:pgNumType w:fmt="decimal"/>
      <w:formProt w:val="false"/>
      <w:textDirection w:val="lrTb"/>
      <w:docGrid w:type="default" w:linePitch="600" w:charSpace="3276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David">
    <w:charset w:val="01"/>
    <w:family w:val="roman"/>
    <w:pitch w:val="variable"/>
  </w:font>
  <w:font w:name="David CLM">
    <w:charset w:val="01"/>
    <w:family w:val="auto"/>
    <w:pitch w:val="variable"/>
  </w:font>
  <w:font w:name="David Libre">
    <w:charset w:val="01"/>
    <w:family w:val="auto"/>
    <w:pitch w:val="variable"/>
  </w:font>
</w:fonts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footnote w:id="0" w:type="separator">
    <w:p>
      <w:pPr>
        <w:rPr>
          <w:sz w:val="12"/>
        </w:rPr>
      </w:pPr>
      <w:r>
        <w:separator/>
      </w:r>
    </w:p>
  </w:footnote>
  <w:footnote w:id="1" w:type="continuationSeparator">
    <w:p>
      <w:pPr>
        <w:rPr>
          <w:sz w:val="12"/>
        </w:rPr>
      </w:pPr>
      <w:r>
        <w:continuationSeparator/>
      </w:r>
    </w:p>
  </w:footnote>
  <w:footnote w:id="2">
    <w:p>
      <w:pPr>
        <w:pStyle w:val="Footnote"/>
        <w:bidi w:val="0"/>
        <w:jc w:val="left"/>
        <w:rPr>
          <w:rFonts w:ascii="David Libre" w:hAnsi="David Libre"/>
        </w:rPr>
      </w:pPr>
      <w:r>
        <w:rPr>
          <w:rStyle w:val="FootnoteCharacters"/>
        </w:rPr>
        <w:footnoteRef/>
      </w:r>
      <w:r>
        <w:rPr>
          <w:rFonts w:ascii="David Libre" w:hAnsi="David Libre"/>
        </w:rPr>
        <w:tab/>
        <w:t xml:space="preserve">Patricia Curd, </w:t>
      </w:r>
      <w:r>
        <w:rPr>
          <w:rFonts w:ascii="David Libre" w:hAnsi="David Libre"/>
          <w:i/>
          <w:iCs/>
        </w:rPr>
        <w:t>A Presocratics Reader  - Selected Fragments and Testimonia –</w:t>
      </w:r>
      <w:r>
        <w:rPr>
          <w:rFonts w:ascii="David Libre" w:hAnsi="David Libre"/>
        </w:rPr>
        <w:t xml:space="preserve"> second edition </w:t>
      </w:r>
      <w:r>
        <w:rPr>
          <w:rFonts w:ascii="David Libre" w:hAnsi="David Libre"/>
          <w:i/>
          <w:iCs/>
        </w:rPr>
        <w:t>(Indianapolis: Hackett Publishing Company, 2011),</w:t>
      </w:r>
      <w:r>
        <w:rPr>
          <w:rFonts w:ascii="David Libre" w:hAnsi="David Libre"/>
          <w:i w:val="false"/>
          <w:iCs w:val="false"/>
        </w:rPr>
        <w:t xml:space="preserve"> p.5</w:t>
      </w:r>
      <w:r>
        <w:rPr>
          <w:rFonts w:ascii="David Libre" w:hAnsi="David Libre"/>
          <w:i w:val="false"/>
          <w:iCs w:val="false"/>
        </w:rPr>
        <w:t>9</w:t>
      </w:r>
      <w:r>
        <w:rPr>
          <w:rFonts w:ascii="David Libre" w:hAnsi="David Libre"/>
          <w:i w:val="false"/>
          <w:iCs w:val="false"/>
        </w:rPr>
        <w:t xml:space="preserve">, fragment B8, </w:t>
      </w:r>
      <w:r>
        <w:rPr>
          <w:rFonts w:ascii="David Libre" w:hAnsi="David Libre"/>
          <w:i w:val="false"/>
          <w:iCs w:val="false"/>
        </w:rPr>
        <w:t>lines 2-14</w:t>
      </w:r>
    </w:p>
  </w:footnote>
  <w:footnote w:id="3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>
          <w:i w:val="false"/>
          <w:iCs w:val="false"/>
        </w:rPr>
        <w:tab/>
        <w:t>Ibid</w:t>
      </w:r>
      <w:r>
        <w:rPr>
          <w:i/>
          <w:iCs/>
        </w:rPr>
        <w:t>,</w:t>
      </w:r>
      <w:r>
        <w:rPr/>
        <w:t xml:space="preserve"> p. 82, fragment B12, p</w:t>
      </w:r>
      <w:r>
        <w:rPr/>
        <w:t>p</w:t>
      </w:r>
      <w:r>
        <w:rPr/>
        <w:t>. 83-</w:t>
      </w:r>
      <w:r>
        <w:rPr/>
        <w:t>4</w:t>
      </w:r>
      <w:r>
        <w:rPr/>
        <w:t>, fragment</w:t>
      </w:r>
      <w:r>
        <w:rPr/>
        <w:t>s B12,</w:t>
      </w:r>
      <w:r>
        <w:rPr/>
        <w:t xml:space="preserve"> B14.</w:t>
      </w:r>
    </w:p>
  </w:footnote>
  <w:footnote w:id="4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>Ibid, p.81, fragment B8</w:t>
      </w:r>
    </w:p>
  </w:footnote>
  <w:footnote w:id="5">
    <w:p>
      <w:pPr>
        <w:pStyle w:val="Footnote"/>
        <w:bidi w:val="0"/>
        <w:jc w:val="left"/>
        <w:rPr>
          <w:i/>
          <w:i/>
          <w:iCs/>
        </w:rPr>
      </w:pPr>
      <w:r>
        <w:rPr>
          <w:rStyle w:val="FootnoteCharacters"/>
        </w:rPr>
        <w:footnoteRef/>
      </w:r>
      <w:r>
        <w:rPr>
          <w:i w:val="false"/>
          <w:i w:val="false"/>
          <w:iCs w:val="false"/>
          <w:rtl w:val="true"/>
        </w:rPr>
        <w:tab/>
        <w:t>שמואל שקולניקוב</w:t>
      </w:r>
      <w:r>
        <w:rPr>
          <w:i w:val="false"/>
          <w:iCs w:val="false"/>
          <w:rtl w:val="true"/>
        </w:rPr>
        <w:t>,</w:t>
      </w:r>
      <w:r>
        <w:rPr>
          <w:i/>
          <w:i/>
          <w:iCs/>
          <w:rtl w:val="true"/>
        </w:rPr>
        <w:t>הירקאליטוס ופרמנידס</w:t>
      </w:r>
      <w:r>
        <w:rPr>
          <w:i/>
          <w:iCs/>
          <w:rtl w:val="true"/>
        </w:rPr>
        <w:t xml:space="preserve">- </w:t>
      </w:r>
      <w:r>
        <w:rPr>
          <w:i/>
          <w:i/>
          <w:iCs/>
          <w:rtl w:val="true"/>
        </w:rPr>
        <w:t xml:space="preserve">עדויות ופרגמנטים </w:t>
      </w:r>
      <w:r>
        <w:rPr>
          <w:i/>
          <w:iCs/>
          <w:rtl w:val="true"/>
        </w:rPr>
        <w:t>(</w:t>
      </w:r>
      <w:r>
        <w:rPr>
          <w:i/>
          <w:i/>
          <w:iCs/>
          <w:rtl w:val="true"/>
        </w:rPr>
        <w:t>מוסד ביאליק</w:t>
      </w:r>
      <w:r>
        <w:rPr>
          <w:i/>
          <w:iCs/>
          <w:rtl w:val="true"/>
        </w:rPr>
        <w:t xml:space="preserve">: </w:t>
      </w:r>
      <w:r>
        <w:rPr>
          <w:i/>
          <w:i/>
          <w:iCs/>
          <w:rtl w:val="true"/>
        </w:rPr>
        <w:t>ירושלים</w:t>
      </w:r>
      <w:r>
        <w:rPr>
          <w:i/>
          <w:iCs/>
          <w:rtl w:val="true"/>
        </w:rPr>
        <w:t xml:space="preserve">, </w:t>
      </w:r>
      <w:r>
        <w:rPr>
          <w:i/>
          <w:iCs/>
        </w:rPr>
        <w:t>1</w:t>
      </w:r>
      <w:r>
        <w:rPr>
          <w:i/>
          <w:iCs/>
          <w:rtl w:val="true"/>
        </w:rPr>
        <w:t>),</w:t>
      </w:r>
      <w:r>
        <w:rPr>
          <w:i w:val="false"/>
          <w:iCs w:val="false"/>
          <w:rtl w:val="true"/>
        </w:rPr>
        <w:t xml:space="preserve"> </w:t>
      </w:r>
      <w:r>
        <w:rPr>
          <w:i w:val="false"/>
          <w:i w:val="false"/>
          <w:iCs w:val="false"/>
          <w:rtl w:val="true"/>
        </w:rPr>
        <w:t>עמ</w:t>
      </w:r>
      <w:r>
        <w:rPr>
          <w:i w:val="false"/>
          <w:iCs w:val="false"/>
          <w:rtl w:val="true"/>
        </w:rPr>
        <w:t xml:space="preserve">' </w:t>
      </w:r>
      <w:r>
        <w:rPr>
          <w:i w:val="false"/>
          <w:iCs w:val="false"/>
        </w:rPr>
        <w:t>119</w:t>
      </w:r>
      <w:r>
        <w:rPr>
          <w:i w:val="false"/>
          <w:iCs w:val="false"/>
          <w:rtl w:val="true"/>
        </w:rPr>
        <w:t xml:space="preserve">, </w:t>
      </w:r>
      <w:r>
        <w:rPr>
          <w:i w:val="false"/>
          <w:i w:val="false"/>
          <w:iCs w:val="false"/>
          <w:rtl w:val="true"/>
        </w:rPr>
        <w:t xml:space="preserve">פרגמנט </w:t>
      </w:r>
      <w:r>
        <w:rPr>
          <w:i w:val="false"/>
          <w:iCs w:val="false"/>
        </w:rPr>
        <w:t>88</w:t>
      </w:r>
    </w:p>
  </w:footnote>
  <w:footnote w:id="6">
    <w:p>
      <w:pPr>
        <w:pStyle w:val="Footnote"/>
        <w:bidi w:val="0"/>
        <w:jc w:val="left"/>
        <w:rPr/>
      </w:pPr>
      <w:r>
        <w:rPr>
          <w:rStyle w:val="FootnoteCharacters"/>
        </w:rPr>
        <w:footnoteRef/>
      </w:r>
      <w:r>
        <w:rPr/>
        <w:tab/>
        <w:t xml:space="preserve">Curd </w:t>
      </w:r>
      <w:r>
        <w:rPr/>
        <w:t>(</w:t>
      </w:r>
      <w:r>
        <w:rPr>
          <w:i w:val="false"/>
          <w:iCs w:val="false"/>
        </w:rPr>
        <w:t>2011</w:t>
      </w:r>
      <w:r>
        <w:rPr>
          <w:i/>
          <w:iCs/>
        </w:rPr>
        <w:t>).</w:t>
      </w:r>
      <w:r>
        <w:rPr>
          <w:i w:val="false"/>
          <w:iCs w:val="false"/>
        </w:rPr>
        <w:t xml:space="preserve"> p.111, fragment 67A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bidi w:val="1"/>
      <w:jc w:val="left"/>
      <w:rPr>
        <w:rFonts w:ascii="David" w:hAnsi="David" w:eastAsia="Nimbus Sans" w:cs="David"/>
        <w:b/>
        <w:b/>
        <w:bCs/>
        <w:i w:val="false"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</w:pPr>
    <w:r>
      <w:rPr>
        <w:rFonts w:eastAsia="Nimbus Sans" w:cs="David" w:ascii="David" w:hAnsi="David"/>
        <w:b/>
        <w:bCs/>
        <w:i w:val="false"/>
        <w:iCs w:val="false"/>
        <w:color w:val="auto"/>
        <w:kern w:val="2"/>
        <w:sz w:val="24"/>
        <w:szCs w:val="24"/>
        <w:u w:val="none"/>
        <w:lang w:val="en-US" w:eastAsia="zh-CN" w:bidi="hi-IN"/>
      </w:rPr>
      <w:t>207130253</w:t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none"/>
      <w:suff w:val="nothing"/>
      <w:lvlText w:val="%1"/>
      <w:lvlJc w:val="right"/>
      <w:pPr>
        <w:tabs>
          <w:tab w:val="num" w:pos="0"/>
        </w:tabs>
        <w:ind w:left="0" w:hanging="0"/>
      </w:pPr>
      <w:rPr/>
    </w:lvl>
    <w:lvl w:ilvl="1">
      <w:start w:val="1"/>
      <w:numFmt w:val="none"/>
      <w:suff w:val="nothing"/>
      <w:lvlText w:val="%2"/>
      <w:lvlJc w:val="right"/>
      <w:pPr>
        <w:tabs>
          <w:tab w:val="num" w:pos="0"/>
        </w:tabs>
        <w:ind w:left="0" w:hanging="0"/>
      </w:pPr>
      <w:rPr/>
    </w:lvl>
    <w:lvl w:ilvl="2">
      <w:start w:val="1"/>
      <w:numFmt w:val="none"/>
      <w:suff w:val="nothing"/>
      <w:lvlText w:val="%3"/>
      <w:lvlJc w:val="right"/>
      <w:pPr>
        <w:tabs>
          <w:tab w:val="num" w:pos="0"/>
        </w:tabs>
        <w:ind w:left="0" w:hanging="0"/>
      </w:pPr>
      <w:rPr/>
    </w:lvl>
    <w:lvl w:ilvl="3">
      <w:start w:val="1"/>
      <w:numFmt w:val="none"/>
      <w:suff w:val="nothing"/>
      <w:lvlText w:val="%4"/>
      <w:lvlJc w:val="right"/>
      <w:pPr>
        <w:tabs>
          <w:tab w:val="num" w:pos="0"/>
        </w:tabs>
        <w:ind w:left="0" w:hanging="0"/>
      </w:pPr>
      <w:rPr/>
    </w:lvl>
    <w:lvl w:ilvl="4">
      <w:start w:val="1"/>
      <w:numFmt w:val="none"/>
      <w:suff w:val="nothing"/>
      <w:lvlText w:val="%5"/>
      <w:lvlJc w:val="right"/>
      <w:pPr>
        <w:tabs>
          <w:tab w:val="num" w:pos="0"/>
        </w:tabs>
        <w:ind w:left="0" w:hanging="0"/>
      </w:pPr>
      <w:rPr/>
    </w:lvl>
    <w:lvl w:ilvl="5">
      <w:start w:val="1"/>
      <w:numFmt w:val="none"/>
      <w:suff w:val="nothing"/>
      <w:lvlText w:val="%6"/>
      <w:lvlJc w:val="right"/>
      <w:pPr>
        <w:tabs>
          <w:tab w:val="num" w:pos="0"/>
        </w:tabs>
        <w:ind w:left="0" w:hanging="0"/>
      </w:pPr>
      <w:rPr/>
    </w:lvl>
    <w:lvl w:ilvl="6">
      <w:start w:val="1"/>
      <w:numFmt w:val="none"/>
      <w:suff w:val="nothing"/>
      <w:lvlText w:val="%7"/>
      <w:lvlJc w:val="right"/>
      <w:pPr>
        <w:tabs>
          <w:tab w:val="num" w:pos="0"/>
        </w:tabs>
        <w:ind w:left="0" w:hanging="0"/>
      </w:pPr>
      <w:rPr/>
    </w:lvl>
    <w:lvl w:ilvl="7">
      <w:start w:val="1"/>
      <w:numFmt w:val="none"/>
      <w:suff w:val="nothing"/>
      <w:lvlText w:val="%8"/>
      <w:lvlJc w:val="right"/>
      <w:pPr>
        <w:tabs>
          <w:tab w:val="num" w:pos="0"/>
        </w:tabs>
        <w:ind w:left="0" w:hanging="0"/>
      </w:pPr>
      <w:rPr/>
    </w:lvl>
    <w:lvl w:ilvl="8">
      <w:start w:val="1"/>
      <w:numFmt w:val="none"/>
      <w:suff w:val="nothing"/>
      <w:lvlText w:val="%9"/>
      <w:lvlJc w:val="right"/>
      <w:pPr>
        <w:tabs>
          <w:tab w:val="num" w:pos="0"/>
        </w:tabs>
        <w:ind w:left="0" w:hanging="0"/>
      </w:pPr>
      <w:rPr/>
    </w:lvl>
  </w:abstractNum>
  <w:abstractNum w:abstractNumId="2">
    <w:lvl w:ilvl="0">
      <w:start w:val="1"/>
      <w:pStyle w:val="Heading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imbus Sans" w:cs="FreeSans"/>
        <w:kern w:val="2"/>
        <w:sz w:val="24"/>
        <w:szCs w:val="24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overflowPunct w:val="false"/>
      <w:bidi w:val="0"/>
      <w:spacing w:before="0" w:after="0"/>
      <w:jc w:val="left"/>
    </w:pPr>
    <w:rPr>
      <w:rFonts w:ascii="Liberation Serif" w:hAnsi="Liberation Serif" w:eastAsia="Nimbus Sans" w:cs="FreeSans"/>
      <w:color w:val="auto"/>
      <w:kern w:val="2"/>
      <w:sz w:val="24"/>
      <w:szCs w:val="24"/>
      <w:lang w:val="en-US" w:eastAsia="zh-CN" w:bidi="hi-IN"/>
    </w:rPr>
  </w:style>
  <w:style w:type="paragraph" w:styleId="Heading1">
    <w:name w:val="Heading 1"/>
    <w:basedOn w:val="Heading"/>
    <w:next w:val="TextBody"/>
    <w:qFormat/>
    <w:pPr>
      <w:spacing w:before="240" w:after="120"/>
      <w:outlineLvl w:val="0"/>
    </w:pPr>
    <w:rPr>
      <w:rFonts w:ascii="Liberation Serif" w:hAnsi="Liberation Serif" w:eastAsia="Nimbus Sans" w:cs="Nimbus Sans"/>
      <w:b/>
      <w:bCs/>
      <w:sz w:val="48"/>
      <w:szCs w:val="48"/>
    </w:rPr>
  </w:style>
  <w:style w:type="paragraph" w:styleId="Heading3">
    <w:name w:val="Heading 3"/>
    <w:basedOn w:val="Heading"/>
    <w:next w:val="TextBody"/>
    <w:qFormat/>
    <w:pPr>
      <w:numPr>
        <w:ilvl w:val="2"/>
        <w:numId w:val="1"/>
      </w:numPr>
      <w:spacing w:before="140" w:after="120"/>
      <w:outlineLvl w:val="2"/>
    </w:pPr>
    <w:rPr>
      <w:b/>
      <w:bCs/>
      <w:sz w:val="28"/>
      <w:szCs w:val="28"/>
    </w:rPr>
  </w:style>
  <w:style w:type="character" w:styleId="WW8Num1z0">
    <w:name w:val="WW8Num1z0"/>
    <w:qFormat/>
    <w:rPr/>
  </w:style>
  <w:style w:type="character" w:styleId="FootnoteCharacters">
    <w:name w:val="Footnote Characters"/>
    <w:qFormat/>
    <w:rPr>
      <w:vertAlign w:val="superscript"/>
    </w:rPr>
  </w:style>
  <w:style w:type="character" w:styleId="FootnoteAnchor">
    <w:name w:val="Footnote Reference"/>
    <w:rPr>
      <w:vertAlign w:val="superscript"/>
    </w:rPr>
  </w:style>
  <w:style w:type="character" w:styleId="EndnoteCharacters">
    <w:name w:val="Endnote Characters"/>
    <w:qFormat/>
    <w:rPr/>
  </w:style>
  <w:style w:type="character" w:styleId="EndnoteAnchor">
    <w:name w:val="Endnote Reference"/>
    <w:rPr>
      <w:vertAlign w:val="superscript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imbus Sans" w:cs="FreeSans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FreeSans"/>
    </w:rPr>
  </w:style>
  <w:style w:type="paragraph" w:styleId="Footnote">
    <w:name w:val="Footnote Text"/>
    <w:basedOn w:val="Normal"/>
    <w:pPr>
      <w:suppressLineNumbers/>
      <w:ind w:left="340" w:right="0" w:hanging="340"/>
    </w:pPr>
    <w:rPr>
      <w:sz w:val="20"/>
      <w:szCs w:val="20"/>
    </w:rPr>
  </w:style>
  <w:style w:type="paragraph" w:styleId="HeaderandFooter">
    <w:name w:val="Header and Footer"/>
    <w:basedOn w:val="Normal"/>
    <w:qFormat/>
    <w:pPr>
      <w:suppressLineNumbers/>
      <w:tabs>
        <w:tab w:val="clear" w:pos="709"/>
        <w:tab w:val="center" w:pos="4986" w:leader="none"/>
        <w:tab w:val="right" w:pos="9972" w:leader="none"/>
      </w:tabs>
    </w:pPr>
    <w:rPr/>
  </w:style>
  <w:style w:type="paragraph" w:styleId="Header">
    <w:name w:val="Header"/>
    <w:basedOn w:val="HeaderandFooter"/>
    <w:pPr>
      <w:suppressLineNumbers/>
    </w:pPr>
    <w:rPr/>
  </w:style>
  <w:style w:type="numbering" w:styleId="WW8Num1">
    <w:name w:val="WW8Num1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notes" Target="footnotes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1321</TotalTime>
  <Application>LibreOffice/7.4.3.2$Linux_X86_64 LibreOffice_project/40$Build-2</Application>
  <AppVersion>15.0000</AppVersion>
  <Pages>2</Pages>
  <Words>451</Words>
  <Characters>2475</Characters>
  <CharactersWithSpaces>2930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2022-11-26T15:19:18Z</dcterms:created>
  <dc:creator/>
  <dc:description/>
  <dc:language>en-US</dc:language>
  <cp:lastModifiedBy/>
  <dcterms:modified xsi:type="dcterms:W3CDTF">2022-11-30T20:34:07Z</dcterms:modified>
  <cp:revision>61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