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14161" w:rsidRDefault="00514161" w:rsidP="00514161">
      <w:pPr>
        <w:bidi/>
        <w:spacing w:after="0" w:line="240" w:lineRule="auto"/>
        <w:jc w:val="center"/>
        <w:rPr>
          <w:b/>
          <w:bCs/>
          <w:rtl/>
        </w:rPr>
      </w:pPr>
      <w:r>
        <w:rPr>
          <w:rFonts w:hint="cs"/>
          <w:b/>
          <w:bCs/>
          <w:rtl/>
        </w:rPr>
        <w:t>ה"</w:t>
      </w:r>
      <w:r w:rsidR="009F13C8">
        <w:rPr>
          <w:rFonts w:hint="cs"/>
          <w:b/>
          <w:bCs/>
          <w:i/>
          <w:iCs/>
          <w:rtl/>
        </w:rPr>
        <w:t>המשתה</w:t>
      </w:r>
      <w:r>
        <w:rPr>
          <w:rFonts w:hint="cs"/>
          <w:b/>
          <w:bCs/>
          <w:rtl/>
        </w:rPr>
        <w:t xml:space="preserve">" </w:t>
      </w:r>
    </w:p>
    <w:p w:rsidR="00CD1919" w:rsidRDefault="00514161" w:rsidP="00514161">
      <w:pPr>
        <w:bidi/>
        <w:spacing w:after="0" w:line="240" w:lineRule="auto"/>
        <w:jc w:val="center"/>
        <w:rPr>
          <w:b/>
          <w:bCs/>
          <w:rtl/>
        </w:rPr>
      </w:pPr>
      <w:r>
        <w:rPr>
          <w:rFonts w:hint="cs"/>
          <w:b/>
          <w:bCs/>
          <w:rtl/>
        </w:rPr>
        <w:t>דברי הכרות</w:t>
      </w:r>
    </w:p>
    <w:p w:rsidR="00514161" w:rsidRDefault="00514161" w:rsidP="00514161">
      <w:pPr>
        <w:bidi/>
        <w:spacing w:after="0" w:line="240" w:lineRule="auto"/>
        <w:jc w:val="center"/>
        <w:rPr>
          <w:b/>
          <w:bCs/>
          <w:rtl/>
        </w:rPr>
      </w:pPr>
    </w:p>
    <w:p w:rsidR="007350E3" w:rsidRDefault="009F13C8" w:rsidP="007350E3">
      <w:pPr>
        <w:bidi/>
        <w:spacing w:after="0" w:line="240" w:lineRule="auto"/>
        <w:jc w:val="both"/>
        <w:rPr>
          <w:rtl/>
        </w:rPr>
      </w:pPr>
      <w:r>
        <w:rPr>
          <w:rFonts w:hint="cs"/>
          <w:rtl/>
        </w:rPr>
        <w:t>ה</w:t>
      </w:r>
      <w:r>
        <w:rPr>
          <w:rFonts w:hint="cs"/>
          <w:i/>
          <w:iCs/>
          <w:rtl/>
        </w:rPr>
        <w:t xml:space="preserve">משתה </w:t>
      </w:r>
      <w:r>
        <w:rPr>
          <w:rFonts w:hint="cs"/>
          <w:rtl/>
        </w:rPr>
        <w:t xml:space="preserve">הוא הדיאלוג האפלטוני על האהבה, התשוקה </w:t>
      </w:r>
      <w:r w:rsidR="00884CE0">
        <w:rPr>
          <w:rFonts w:hint="cs"/>
          <w:rtl/>
        </w:rPr>
        <w:t xml:space="preserve">הגופנית </w:t>
      </w:r>
      <w:r>
        <w:rPr>
          <w:rFonts w:hint="cs"/>
          <w:rtl/>
        </w:rPr>
        <w:t xml:space="preserve">והקשר בין </w:t>
      </w:r>
      <w:r w:rsidR="00884CE0">
        <w:rPr>
          <w:rFonts w:hint="cs"/>
          <w:rtl/>
        </w:rPr>
        <w:t xml:space="preserve">אלה </w:t>
      </w:r>
      <w:r>
        <w:rPr>
          <w:rFonts w:hint="cs"/>
          <w:rtl/>
        </w:rPr>
        <w:t>לבין הפילוס</w:t>
      </w:r>
      <w:r w:rsidR="00884CE0">
        <w:rPr>
          <w:rFonts w:hint="cs"/>
          <w:rtl/>
        </w:rPr>
        <w:t>ו</w:t>
      </w:r>
      <w:r>
        <w:rPr>
          <w:rFonts w:hint="cs"/>
          <w:rtl/>
        </w:rPr>
        <w:t xml:space="preserve">פיה. הוא מפסגות הספרות העולמית, והיה מוכר ככזה עוד בעת העתיקה, ולכל אורך ההיסטוריה </w:t>
      </w:r>
      <w:r w:rsidR="00884CE0">
        <w:rPr>
          <w:rFonts w:hint="cs"/>
          <w:rtl/>
        </w:rPr>
        <w:t xml:space="preserve">- </w:t>
      </w:r>
      <w:r>
        <w:rPr>
          <w:rFonts w:hint="cs"/>
          <w:rtl/>
        </w:rPr>
        <w:t xml:space="preserve">גם בתקופות בהם </w:t>
      </w:r>
      <w:r w:rsidR="00880DEB">
        <w:rPr>
          <w:rFonts w:hint="cs"/>
          <w:rtl/>
        </w:rPr>
        <w:t>חלק מ</w:t>
      </w:r>
      <w:r>
        <w:rPr>
          <w:rFonts w:hint="cs"/>
          <w:rtl/>
        </w:rPr>
        <w:t>התכנים ש</w:t>
      </w:r>
      <w:r w:rsidR="00880DEB">
        <w:rPr>
          <w:rFonts w:hint="cs"/>
          <w:rtl/>
        </w:rPr>
        <w:t>ב</w:t>
      </w:r>
      <w:r>
        <w:rPr>
          <w:rFonts w:hint="cs"/>
          <w:rtl/>
        </w:rPr>
        <w:t xml:space="preserve">דיאלוג </w:t>
      </w:r>
      <w:r>
        <w:rPr>
          <w:rtl/>
        </w:rPr>
        <w:t>–</w:t>
      </w:r>
      <w:r>
        <w:rPr>
          <w:rFonts w:hint="cs"/>
          <w:rtl/>
        </w:rPr>
        <w:t xml:space="preserve"> </w:t>
      </w:r>
      <w:r w:rsidR="00884CE0">
        <w:rPr>
          <w:rFonts w:hint="cs"/>
          <w:rtl/>
        </w:rPr>
        <w:t xml:space="preserve">למשל, </w:t>
      </w:r>
      <w:r>
        <w:rPr>
          <w:rFonts w:hint="cs"/>
          <w:rtl/>
        </w:rPr>
        <w:t xml:space="preserve">ההבלטה של </w:t>
      </w:r>
      <w:r w:rsidR="00884CE0">
        <w:rPr>
          <w:rFonts w:hint="cs"/>
          <w:rtl/>
        </w:rPr>
        <w:t>ה</w:t>
      </w:r>
      <w:r>
        <w:rPr>
          <w:rFonts w:hint="cs"/>
          <w:rtl/>
        </w:rPr>
        <w:t xml:space="preserve">אהבה </w:t>
      </w:r>
      <w:r w:rsidR="00884CE0">
        <w:rPr>
          <w:rFonts w:hint="cs"/>
          <w:rtl/>
        </w:rPr>
        <w:t>ה</w:t>
      </w:r>
      <w:r>
        <w:rPr>
          <w:rFonts w:hint="cs"/>
          <w:rtl/>
        </w:rPr>
        <w:t>הומו-</w:t>
      </w:r>
      <w:proofErr w:type="spellStart"/>
      <w:r>
        <w:rPr>
          <w:rFonts w:hint="cs"/>
          <w:rtl/>
        </w:rPr>
        <w:t>אירוטית</w:t>
      </w:r>
      <w:proofErr w:type="spellEnd"/>
      <w:r w:rsidR="00884CE0">
        <w:rPr>
          <w:rFonts w:hint="cs"/>
          <w:rtl/>
        </w:rPr>
        <w:t xml:space="preserve"> </w:t>
      </w:r>
      <w:r>
        <w:rPr>
          <w:rtl/>
        </w:rPr>
        <w:t>–</w:t>
      </w:r>
      <w:r>
        <w:rPr>
          <w:rFonts w:hint="cs"/>
          <w:rtl/>
        </w:rPr>
        <w:t xml:space="preserve"> היו מוקצים מחמת המיאוס ואפילו אסורים על פי חוק.</w:t>
      </w:r>
      <w:r w:rsidR="00880DEB">
        <w:rPr>
          <w:rFonts w:hint="cs"/>
          <w:rtl/>
        </w:rPr>
        <w:t xml:space="preserve"> ובכל זאת, מאז שהוא נכתב לא הפסיקו לתרגם, לקרוא ולפרש את ה</w:t>
      </w:r>
      <w:r w:rsidR="00880DEB" w:rsidRPr="00880DEB">
        <w:rPr>
          <w:rFonts w:hint="cs"/>
          <w:i/>
          <w:iCs/>
          <w:rtl/>
        </w:rPr>
        <w:t>משתה</w:t>
      </w:r>
      <w:r w:rsidR="00880DEB">
        <w:rPr>
          <w:rFonts w:hint="cs"/>
          <w:rtl/>
        </w:rPr>
        <w:t xml:space="preserve"> של אפלטון. וזאת על אף שהקשר שנתווה בדיאלוג בין תשוקה גופנית לבין פילוסופיה מובילה ל</w:t>
      </w:r>
      <w:r w:rsidR="00884CE0">
        <w:rPr>
          <w:rFonts w:hint="cs"/>
          <w:rtl/>
        </w:rPr>
        <w:t xml:space="preserve">מסקנות </w:t>
      </w:r>
      <w:r w:rsidR="00880DEB">
        <w:rPr>
          <w:rFonts w:hint="cs"/>
          <w:rtl/>
        </w:rPr>
        <w:t>רדיקליות ביותר לגבי טבע האדם וטיב החיים שראוי לחיות</w:t>
      </w:r>
      <w:r w:rsidR="00884CE0">
        <w:rPr>
          <w:rFonts w:hint="cs"/>
          <w:rtl/>
        </w:rPr>
        <w:t>ם</w:t>
      </w:r>
      <w:r w:rsidR="00880DEB">
        <w:rPr>
          <w:rFonts w:hint="cs"/>
          <w:rtl/>
        </w:rPr>
        <w:t>. יש מובנים שבהם דווקא היום, למרות ה"חופש" ו</w:t>
      </w:r>
      <w:r w:rsidR="007350E3">
        <w:rPr>
          <w:rFonts w:hint="cs"/>
          <w:rtl/>
        </w:rPr>
        <w:t>ה</w:t>
      </w:r>
      <w:r w:rsidR="00880DEB">
        <w:rPr>
          <w:rFonts w:hint="cs"/>
          <w:rtl/>
        </w:rPr>
        <w:t xml:space="preserve">מתירנות </w:t>
      </w:r>
      <w:r w:rsidR="007350E3">
        <w:rPr>
          <w:rFonts w:hint="cs"/>
          <w:rtl/>
        </w:rPr>
        <w:t xml:space="preserve">המינית </w:t>
      </w:r>
      <w:r w:rsidR="00CB14E7">
        <w:rPr>
          <w:rFonts w:hint="cs"/>
          <w:rtl/>
        </w:rPr>
        <w:t>ש</w:t>
      </w:r>
      <w:r w:rsidR="00880DEB">
        <w:rPr>
          <w:rFonts w:hint="cs"/>
          <w:rtl/>
        </w:rPr>
        <w:t>העולם המודרני</w:t>
      </w:r>
      <w:r w:rsidR="00CB14E7">
        <w:rPr>
          <w:rFonts w:hint="cs"/>
          <w:rtl/>
        </w:rPr>
        <w:t>-</w:t>
      </w:r>
      <w:r w:rsidR="007350E3">
        <w:rPr>
          <w:rFonts w:hint="cs"/>
          <w:rtl/>
        </w:rPr>
        <w:t>המערבי</w:t>
      </w:r>
      <w:r w:rsidR="00CB14E7">
        <w:rPr>
          <w:rFonts w:hint="cs"/>
          <w:rtl/>
        </w:rPr>
        <w:t xml:space="preserve"> מתהדר בהם</w:t>
      </w:r>
      <w:r w:rsidR="00880DEB">
        <w:rPr>
          <w:rFonts w:hint="cs"/>
          <w:rtl/>
        </w:rPr>
        <w:t xml:space="preserve">, </w:t>
      </w:r>
      <w:r w:rsidR="007350E3">
        <w:rPr>
          <w:rFonts w:hint="cs"/>
          <w:rtl/>
        </w:rPr>
        <w:t>ה</w:t>
      </w:r>
      <w:r w:rsidR="00880DEB">
        <w:rPr>
          <w:rFonts w:hint="cs"/>
          <w:i/>
          <w:iCs/>
          <w:rtl/>
        </w:rPr>
        <w:t xml:space="preserve">משתה </w:t>
      </w:r>
      <w:r w:rsidR="00CB14E7">
        <w:rPr>
          <w:rFonts w:hint="cs"/>
          <w:rtl/>
        </w:rPr>
        <w:t xml:space="preserve">הוא עוד יותר </w:t>
      </w:r>
      <w:r w:rsidR="007350E3">
        <w:rPr>
          <w:rFonts w:hint="cs"/>
          <w:rtl/>
        </w:rPr>
        <w:t xml:space="preserve">רדיקלי וזר לאוזנינו, וזאת משתי סיבות עיקריות:  </w:t>
      </w:r>
    </w:p>
    <w:p w:rsidR="007350E3" w:rsidRDefault="007350E3" w:rsidP="007350E3">
      <w:pPr>
        <w:bidi/>
        <w:spacing w:after="0" w:line="240" w:lineRule="auto"/>
        <w:jc w:val="both"/>
        <w:rPr>
          <w:rtl/>
        </w:rPr>
      </w:pPr>
    </w:p>
    <w:p w:rsidR="009F13C8" w:rsidRDefault="007350E3" w:rsidP="007350E3">
      <w:pPr>
        <w:pStyle w:val="ListParagraph"/>
        <w:numPr>
          <w:ilvl w:val="0"/>
          <w:numId w:val="2"/>
        </w:numPr>
        <w:bidi/>
        <w:spacing w:after="0" w:line="240" w:lineRule="auto"/>
        <w:jc w:val="both"/>
      </w:pPr>
      <w:r>
        <w:rPr>
          <w:rFonts w:hint="cs"/>
          <w:rtl/>
        </w:rPr>
        <w:t>ב</w:t>
      </w:r>
      <w:r w:rsidRPr="007350E3">
        <w:rPr>
          <w:rFonts w:hint="cs"/>
          <w:i/>
          <w:iCs/>
          <w:rtl/>
        </w:rPr>
        <w:t xml:space="preserve">משתה </w:t>
      </w:r>
      <w:r>
        <w:rPr>
          <w:rFonts w:hint="cs"/>
          <w:rtl/>
        </w:rPr>
        <w:t>נטען</w:t>
      </w:r>
      <w:r w:rsidR="00CB14E7">
        <w:rPr>
          <w:rFonts w:hint="cs"/>
          <w:rtl/>
        </w:rPr>
        <w:t xml:space="preserve"> </w:t>
      </w:r>
      <w:r w:rsidR="00F1079F">
        <w:rPr>
          <w:rFonts w:hint="cs"/>
          <w:rtl/>
        </w:rPr>
        <w:t>שכל אדם הוא מה שהוא אוהב,</w:t>
      </w:r>
      <w:r>
        <w:rPr>
          <w:rFonts w:hint="cs"/>
          <w:rtl/>
        </w:rPr>
        <w:t xml:space="preserve"> </w:t>
      </w:r>
      <w:r w:rsidR="00F1079F">
        <w:rPr>
          <w:rFonts w:hint="cs"/>
          <w:rtl/>
        </w:rPr>
        <w:t>ו</w:t>
      </w:r>
      <w:r>
        <w:rPr>
          <w:rFonts w:hint="cs"/>
          <w:rtl/>
        </w:rPr>
        <w:t>יש סוגים שונים של אהבה</w:t>
      </w:r>
      <w:r w:rsidR="00F1079F">
        <w:rPr>
          <w:rFonts w:hint="cs"/>
          <w:rtl/>
        </w:rPr>
        <w:t xml:space="preserve">. </w:t>
      </w:r>
      <w:r w:rsidR="00CB14E7">
        <w:rPr>
          <w:rFonts w:hint="cs"/>
          <w:rtl/>
        </w:rPr>
        <w:t xml:space="preserve">עד כאן, </w:t>
      </w:r>
      <w:r w:rsidR="00F1079F">
        <w:rPr>
          <w:rFonts w:hint="cs"/>
          <w:rtl/>
        </w:rPr>
        <w:t xml:space="preserve">זה </w:t>
      </w:r>
      <w:r w:rsidR="00CB14E7">
        <w:rPr>
          <w:rFonts w:hint="cs"/>
          <w:rtl/>
        </w:rPr>
        <w:t xml:space="preserve">מצלצל נעים </w:t>
      </w:r>
      <w:r w:rsidR="00F1079F">
        <w:rPr>
          <w:rFonts w:hint="cs"/>
          <w:rtl/>
        </w:rPr>
        <w:t>לאוזניים מודרניות. אבל יש תוספת: בין סוגי האהבה ומושאי האהבה יש מדרג ברור</w:t>
      </w:r>
      <w:r>
        <w:rPr>
          <w:rFonts w:hint="cs"/>
          <w:rtl/>
        </w:rPr>
        <w:t>. לא כל האהבות שוות</w:t>
      </w:r>
      <w:r w:rsidR="00F1079F">
        <w:rPr>
          <w:rFonts w:hint="cs"/>
          <w:rtl/>
        </w:rPr>
        <w:t>.</w:t>
      </w:r>
      <w:r>
        <w:rPr>
          <w:rFonts w:hint="cs"/>
          <w:rtl/>
        </w:rPr>
        <w:t xml:space="preserve"> לא כל בני האדם מסוגלים באמת לאהוב</w:t>
      </w:r>
      <w:r w:rsidR="00F1079F">
        <w:rPr>
          <w:rFonts w:hint="cs"/>
          <w:rtl/>
        </w:rPr>
        <w:t>.</w:t>
      </w:r>
      <w:r>
        <w:rPr>
          <w:rFonts w:hint="cs"/>
          <w:rtl/>
        </w:rPr>
        <w:t xml:space="preserve"> ולא כל בני האדם מסוגלים להיות נאהבים.</w:t>
      </w:r>
    </w:p>
    <w:p w:rsidR="00F1079F" w:rsidRDefault="00F1079F" w:rsidP="00F1079F">
      <w:pPr>
        <w:pStyle w:val="ListParagraph"/>
        <w:bidi/>
        <w:spacing w:after="0" w:line="240" w:lineRule="auto"/>
        <w:ind w:left="1080"/>
        <w:jc w:val="both"/>
      </w:pPr>
    </w:p>
    <w:p w:rsidR="00F1079F" w:rsidRPr="007350E3" w:rsidRDefault="007350E3" w:rsidP="00F1079F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tl/>
        </w:rPr>
      </w:pPr>
      <w:r>
        <w:rPr>
          <w:rFonts w:hint="cs"/>
          <w:rtl/>
        </w:rPr>
        <w:t xml:space="preserve">המושא האמתי של התשוקה הגופנית </w:t>
      </w:r>
      <w:r w:rsidR="00CB14E7">
        <w:rPr>
          <w:rFonts w:hint="cs"/>
          <w:rtl/>
        </w:rPr>
        <w:t xml:space="preserve">כלל </w:t>
      </w:r>
      <w:r>
        <w:rPr>
          <w:rFonts w:hint="cs"/>
          <w:rtl/>
        </w:rPr>
        <w:t xml:space="preserve">אינו גוף כלשהו, או אדם כלשהו, או חפץ כלשהו.  המושא האמתי של </w:t>
      </w:r>
      <w:r w:rsidR="00F1079F">
        <w:rPr>
          <w:rFonts w:hint="cs"/>
          <w:rtl/>
        </w:rPr>
        <w:t xml:space="preserve">האהבה </w:t>
      </w:r>
      <w:r>
        <w:rPr>
          <w:rFonts w:hint="cs"/>
          <w:rtl/>
        </w:rPr>
        <w:t>הוא ה</w:t>
      </w:r>
      <w:r w:rsidR="00CB14E7">
        <w:rPr>
          <w:rFonts w:hint="cs"/>
          <w:rtl/>
        </w:rPr>
        <w:t>"</w:t>
      </w:r>
      <w:r>
        <w:rPr>
          <w:rFonts w:hint="cs"/>
          <w:rtl/>
        </w:rPr>
        <w:t>יפה כשלעצמו</w:t>
      </w:r>
      <w:r w:rsidR="00CB14E7">
        <w:rPr>
          <w:rFonts w:hint="cs"/>
          <w:rtl/>
        </w:rPr>
        <w:t>"</w:t>
      </w:r>
      <w:r>
        <w:rPr>
          <w:rFonts w:hint="cs"/>
          <w:rtl/>
        </w:rPr>
        <w:t xml:space="preserve">. כלומר, אפלטון לא טוען שיש אהבה גופנית ולצידה אהבה נפשית. הוא גם לא טוען שהאהבה הנפשית </w:t>
      </w:r>
      <w:r w:rsidR="00F1079F">
        <w:rPr>
          <w:rFonts w:hint="cs"/>
          <w:rtl/>
        </w:rPr>
        <w:t>"</w:t>
      </w:r>
      <w:r>
        <w:rPr>
          <w:rFonts w:hint="cs"/>
          <w:rtl/>
        </w:rPr>
        <w:t>צומחת</w:t>
      </w:r>
      <w:r w:rsidR="00F1079F">
        <w:rPr>
          <w:rFonts w:hint="cs"/>
          <w:rtl/>
        </w:rPr>
        <w:t>"</w:t>
      </w:r>
      <w:r>
        <w:rPr>
          <w:rFonts w:hint="cs"/>
          <w:rtl/>
        </w:rPr>
        <w:t xml:space="preserve"> מתוך האהבה הגופנית</w:t>
      </w:r>
      <w:r w:rsidR="00F1079F">
        <w:rPr>
          <w:rFonts w:hint="cs"/>
          <w:rtl/>
        </w:rPr>
        <w:t xml:space="preserve"> או שה</w:t>
      </w:r>
      <w:r w:rsidR="00CB14E7">
        <w:rPr>
          <w:rFonts w:hint="cs"/>
          <w:rtl/>
        </w:rPr>
        <w:t xml:space="preserve">אהבה הנפשית היא </w:t>
      </w:r>
      <w:r w:rsidR="00F1079F">
        <w:rPr>
          <w:rFonts w:hint="cs"/>
          <w:rtl/>
        </w:rPr>
        <w:t xml:space="preserve">העתק </w:t>
      </w:r>
      <w:r w:rsidR="00CB14E7">
        <w:rPr>
          <w:rFonts w:hint="cs"/>
          <w:rtl/>
        </w:rPr>
        <w:t>של זו הגופנית</w:t>
      </w:r>
      <w:r>
        <w:rPr>
          <w:rFonts w:hint="cs"/>
          <w:rtl/>
        </w:rPr>
        <w:t xml:space="preserve">. </w:t>
      </w:r>
      <w:r w:rsidR="00F1079F">
        <w:rPr>
          <w:rFonts w:hint="cs"/>
          <w:rtl/>
        </w:rPr>
        <w:t xml:space="preserve">ההיפך הוא הנכון: </w:t>
      </w:r>
      <w:r>
        <w:rPr>
          <w:rFonts w:hint="cs"/>
          <w:rtl/>
        </w:rPr>
        <w:t xml:space="preserve">האהבה הגופנית היא צל דהוי, ביטוי חלקי, </w:t>
      </w:r>
      <w:r w:rsidR="00F1079F">
        <w:rPr>
          <w:rFonts w:hint="cs"/>
          <w:rtl/>
        </w:rPr>
        <w:t>ל</w:t>
      </w:r>
      <w:r>
        <w:rPr>
          <w:rFonts w:hint="cs"/>
          <w:rtl/>
        </w:rPr>
        <w:t xml:space="preserve">אהבת הנפש לחכמה. </w:t>
      </w:r>
      <w:r w:rsidR="00F1079F">
        <w:rPr>
          <w:rFonts w:hint="cs"/>
          <w:rtl/>
        </w:rPr>
        <w:t>האהבה הנפשית היא המקור</w:t>
      </w:r>
      <w:r w:rsidR="00CB14E7">
        <w:rPr>
          <w:rFonts w:hint="cs"/>
          <w:rtl/>
        </w:rPr>
        <w:t>, ו</w:t>
      </w:r>
      <w:r w:rsidR="00F1079F">
        <w:rPr>
          <w:rFonts w:hint="cs"/>
          <w:rtl/>
        </w:rPr>
        <w:t xml:space="preserve">האהבה הגופנית </w:t>
      </w:r>
      <w:r w:rsidR="00F1079F">
        <w:rPr>
          <w:rtl/>
        </w:rPr>
        <w:t>–</w:t>
      </w:r>
      <w:r w:rsidR="00F1079F">
        <w:rPr>
          <w:rFonts w:hint="cs"/>
          <w:rtl/>
        </w:rPr>
        <w:t xml:space="preserve"> החיקוי.</w:t>
      </w:r>
    </w:p>
    <w:p w:rsidR="007350E3" w:rsidRDefault="007350E3" w:rsidP="007350E3">
      <w:pPr>
        <w:bidi/>
        <w:spacing w:after="0" w:line="240" w:lineRule="auto"/>
        <w:jc w:val="both"/>
        <w:rPr>
          <w:rtl/>
        </w:rPr>
      </w:pPr>
    </w:p>
    <w:p w:rsidR="003B713C" w:rsidRDefault="00F1079F" w:rsidP="003B713C">
      <w:pPr>
        <w:bidi/>
        <w:spacing w:after="0" w:line="240" w:lineRule="auto"/>
        <w:jc w:val="both"/>
        <w:rPr>
          <w:rtl/>
        </w:rPr>
      </w:pPr>
      <w:r w:rsidRPr="00F1079F">
        <w:rPr>
          <w:rFonts w:hint="cs"/>
          <w:b/>
          <w:bCs/>
          <w:rtl/>
        </w:rPr>
        <w:t>הערות על המבנה:</w:t>
      </w:r>
      <w:r>
        <w:rPr>
          <w:rFonts w:hint="cs"/>
          <w:b/>
          <w:bCs/>
          <w:rtl/>
        </w:rPr>
        <w:t xml:space="preserve"> </w:t>
      </w:r>
      <w:r>
        <w:rPr>
          <w:rFonts w:hint="cs"/>
          <w:rtl/>
        </w:rPr>
        <w:t>ל</w:t>
      </w:r>
      <w:r>
        <w:rPr>
          <w:rFonts w:hint="cs"/>
          <w:i/>
          <w:iCs/>
          <w:rtl/>
        </w:rPr>
        <w:t xml:space="preserve">משתה </w:t>
      </w:r>
      <w:r>
        <w:rPr>
          <w:rFonts w:hint="cs"/>
          <w:rtl/>
        </w:rPr>
        <w:t>מבנה שונה מאד מדיאלוגים אפלטוניים אחרים. שלא כמו ה</w:t>
      </w:r>
      <w:r w:rsidRPr="00F1079F">
        <w:rPr>
          <w:rFonts w:hint="cs"/>
          <w:i/>
          <w:iCs/>
          <w:rtl/>
        </w:rPr>
        <w:t>מנון</w:t>
      </w:r>
      <w:r>
        <w:rPr>
          <w:rFonts w:hint="cs"/>
          <w:rtl/>
        </w:rPr>
        <w:t xml:space="preserve"> או </w:t>
      </w:r>
      <w:proofErr w:type="spellStart"/>
      <w:r>
        <w:rPr>
          <w:rFonts w:hint="cs"/>
          <w:rtl/>
        </w:rPr>
        <w:t>ה</w:t>
      </w:r>
      <w:r w:rsidRPr="00F1079F">
        <w:rPr>
          <w:rFonts w:hint="cs"/>
          <w:i/>
          <w:iCs/>
          <w:rtl/>
        </w:rPr>
        <w:t>גורגיאס</w:t>
      </w:r>
      <w:proofErr w:type="spellEnd"/>
      <w:r>
        <w:rPr>
          <w:rFonts w:hint="cs"/>
          <w:rtl/>
        </w:rPr>
        <w:t xml:space="preserve">, </w:t>
      </w:r>
      <w:proofErr w:type="spellStart"/>
      <w:r>
        <w:rPr>
          <w:rFonts w:hint="cs"/>
          <w:rtl/>
        </w:rPr>
        <w:t>סוקראטס</w:t>
      </w:r>
      <w:proofErr w:type="spellEnd"/>
      <w:r>
        <w:rPr>
          <w:rFonts w:hint="cs"/>
          <w:rtl/>
        </w:rPr>
        <w:t xml:space="preserve"> ממעיט כאן בשיחות של חקירת שתי וערב. למרות מה שאמר </w:t>
      </w:r>
      <w:proofErr w:type="spellStart"/>
      <w:r>
        <w:rPr>
          <w:rFonts w:hint="cs"/>
          <w:rtl/>
        </w:rPr>
        <w:t>ב</w:t>
      </w:r>
      <w:r w:rsidRPr="00F1079F">
        <w:rPr>
          <w:rFonts w:hint="cs"/>
          <w:i/>
          <w:iCs/>
          <w:rtl/>
        </w:rPr>
        <w:t>גורגיאס</w:t>
      </w:r>
      <w:proofErr w:type="spellEnd"/>
      <w:r>
        <w:rPr>
          <w:rFonts w:hint="cs"/>
          <w:rtl/>
        </w:rPr>
        <w:t xml:space="preserve"> על כך שאין לו </w:t>
      </w:r>
      <w:r w:rsidR="00443746">
        <w:rPr>
          <w:rFonts w:hint="cs"/>
          <w:rtl/>
        </w:rPr>
        <w:t xml:space="preserve">כשרון </w:t>
      </w:r>
      <w:r>
        <w:rPr>
          <w:rFonts w:hint="cs"/>
          <w:rtl/>
        </w:rPr>
        <w:t>לנאומים</w:t>
      </w:r>
      <w:r w:rsidR="00443746">
        <w:rPr>
          <w:rFonts w:hint="cs"/>
          <w:rtl/>
        </w:rPr>
        <w:t xml:space="preserve"> </w:t>
      </w:r>
      <w:r>
        <w:rPr>
          <w:rFonts w:hint="cs"/>
          <w:rtl/>
        </w:rPr>
        <w:t>ארוכים, ב</w:t>
      </w:r>
      <w:r>
        <w:rPr>
          <w:rFonts w:hint="cs"/>
          <w:i/>
          <w:iCs/>
          <w:rtl/>
        </w:rPr>
        <w:t xml:space="preserve">משתה </w:t>
      </w:r>
      <w:proofErr w:type="spellStart"/>
      <w:r>
        <w:rPr>
          <w:rFonts w:hint="cs"/>
          <w:rtl/>
        </w:rPr>
        <w:t>סוקראטס</w:t>
      </w:r>
      <w:proofErr w:type="spellEnd"/>
      <w:r>
        <w:rPr>
          <w:rFonts w:hint="cs"/>
          <w:rtl/>
        </w:rPr>
        <w:t xml:space="preserve"> מראה את יכולתו באומנות הנאום, וכך גם יתר הדוברים.</w:t>
      </w:r>
    </w:p>
    <w:p w:rsidR="00F1079F" w:rsidRDefault="00F1079F" w:rsidP="00F1079F">
      <w:pPr>
        <w:bidi/>
        <w:spacing w:after="0" w:line="240" w:lineRule="auto"/>
        <w:jc w:val="both"/>
        <w:rPr>
          <w:rtl/>
        </w:rPr>
      </w:pPr>
    </w:p>
    <w:p w:rsidR="000925B0" w:rsidRDefault="00BB35F4" w:rsidP="00F1079F">
      <w:pPr>
        <w:bidi/>
        <w:spacing w:after="0" w:line="240" w:lineRule="auto"/>
        <w:jc w:val="both"/>
        <w:rPr>
          <w:rtl/>
        </w:rPr>
      </w:pPr>
      <w:r>
        <w:rPr>
          <w:rFonts w:hint="cs"/>
          <w:b/>
          <w:bCs/>
          <w:rtl/>
        </w:rPr>
        <w:t xml:space="preserve">תאריך: </w:t>
      </w:r>
      <w:r w:rsidR="00F1079F">
        <w:rPr>
          <w:rFonts w:hint="cs"/>
          <w:rtl/>
        </w:rPr>
        <w:t>הדיאלוג מתרחש בתאריך מאד ברור וידוע: ב</w:t>
      </w:r>
      <w:r w:rsidR="00443746">
        <w:rPr>
          <w:rFonts w:hint="cs"/>
          <w:rtl/>
        </w:rPr>
        <w:t xml:space="preserve">שנת 416 </w:t>
      </w:r>
      <w:r w:rsidR="00F1079F">
        <w:rPr>
          <w:rFonts w:hint="cs"/>
          <w:rtl/>
        </w:rPr>
        <w:t xml:space="preserve">לפנה"ס, ערב </w:t>
      </w:r>
      <w:proofErr w:type="spellStart"/>
      <w:r w:rsidR="00F1079F">
        <w:rPr>
          <w:rFonts w:hint="cs"/>
          <w:rtl/>
        </w:rPr>
        <w:t>הנסיון</w:t>
      </w:r>
      <w:proofErr w:type="spellEnd"/>
      <w:r w:rsidR="00F1079F">
        <w:rPr>
          <w:rFonts w:hint="cs"/>
          <w:rtl/>
        </w:rPr>
        <w:t xml:space="preserve"> האתונאי לכבוש את האי סיציליה כדי לשבור את התיקו במלחמה בין אתונה לספרטה. </w:t>
      </w:r>
      <w:r w:rsidR="00443746">
        <w:rPr>
          <w:rFonts w:hint="cs"/>
          <w:rtl/>
        </w:rPr>
        <w:t xml:space="preserve">מסע הכיבוש, </w:t>
      </w:r>
      <w:r w:rsidR="00F1079F">
        <w:rPr>
          <w:rFonts w:hint="cs"/>
          <w:rtl/>
        </w:rPr>
        <w:t>בו האתונאי</w:t>
      </w:r>
      <w:r w:rsidR="00443746">
        <w:rPr>
          <w:rFonts w:hint="cs"/>
          <w:rtl/>
        </w:rPr>
        <w:t>ם</w:t>
      </w:r>
      <w:r w:rsidR="00F1079F">
        <w:rPr>
          <w:rFonts w:hint="cs"/>
          <w:rtl/>
        </w:rPr>
        <w:t xml:space="preserve"> שלחו לסיציליה את הצי הגדול ביותר שנראה באירופה עד אותה עת, נגמר בקטסטרופה איומה: </w:t>
      </w:r>
    </w:p>
    <w:p w:rsidR="00F1079F" w:rsidRDefault="00F1079F" w:rsidP="000925B0">
      <w:pPr>
        <w:bidi/>
        <w:spacing w:after="0" w:line="240" w:lineRule="auto"/>
        <w:jc w:val="both"/>
        <w:rPr>
          <w:rtl/>
        </w:rPr>
      </w:pPr>
      <w:r>
        <w:rPr>
          <w:rFonts w:hint="cs"/>
          <w:rtl/>
        </w:rPr>
        <w:t>"איש באתונה לא ישן ב</w:t>
      </w:r>
      <w:r w:rsidR="000925B0">
        <w:rPr>
          <w:rFonts w:hint="cs"/>
          <w:rtl/>
        </w:rPr>
        <w:t xml:space="preserve">אותו </w:t>
      </w:r>
      <w:r>
        <w:rPr>
          <w:rFonts w:hint="cs"/>
          <w:rtl/>
        </w:rPr>
        <w:t>לילה בו הגיעה הידיעה על השמדת הצי בקרב על סיציליה." (תוקידיד</w:t>
      </w:r>
      <w:r>
        <w:rPr>
          <w:rFonts w:ascii="Calibri" w:hAnsi="Calibri" w:cs="Calibri"/>
          <w:rtl/>
        </w:rPr>
        <w:t>ֶ</w:t>
      </w:r>
      <w:r>
        <w:rPr>
          <w:rFonts w:hint="cs"/>
          <w:rtl/>
        </w:rPr>
        <w:t>ס)</w:t>
      </w:r>
    </w:p>
    <w:p w:rsidR="00F1079F" w:rsidRDefault="00F1079F" w:rsidP="00F1079F">
      <w:pPr>
        <w:bidi/>
        <w:spacing w:after="0" w:line="240" w:lineRule="auto"/>
        <w:jc w:val="both"/>
        <w:rPr>
          <w:rtl/>
        </w:rPr>
      </w:pPr>
    </w:p>
    <w:p w:rsidR="00F1079F" w:rsidRDefault="000925B0" w:rsidP="00F1079F">
      <w:pPr>
        <w:bidi/>
        <w:spacing w:after="0" w:line="240" w:lineRule="auto"/>
        <w:jc w:val="both"/>
        <w:rPr>
          <w:rtl/>
        </w:rPr>
      </w:pPr>
      <w:r>
        <w:rPr>
          <w:rFonts w:hint="cs"/>
          <w:b/>
          <w:bCs/>
          <w:rtl/>
        </w:rPr>
        <w:t>הדוברים</w:t>
      </w:r>
      <w:bookmarkStart w:id="0" w:name="_GoBack"/>
      <w:bookmarkEnd w:id="0"/>
      <w:r>
        <w:rPr>
          <w:rFonts w:hint="cs"/>
          <w:b/>
          <w:bCs/>
          <w:rtl/>
        </w:rPr>
        <w:t xml:space="preserve">: </w:t>
      </w:r>
      <w:r w:rsidR="00F1079F">
        <w:rPr>
          <w:rFonts w:hint="cs"/>
          <w:rtl/>
        </w:rPr>
        <w:t>את כל הדוברים בדיאלוג נלמד להכיר לעומק תוך כדי ההרצאות. יש לדעת שהם כולם דמויות היסטוריות, מהאליטה הגבוהה ביותר של אתונה</w:t>
      </w:r>
      <w:r w:rsidR="00327F02">
        <w:rPr>
          <w:rFonts w:hint="cs"/>
          <w:rtl/>
        </w:rPr>
        <w:t xml:space="preserve"> -</w:t>
      </w:r>
      <w:r w:rsidR="00F1079F">
        <w:rPr>
          <w:rFonts w:hint="cs"/>
          <w:rtl/>
        </w:rPr>
        <w:t xml:space="preserve"> חברים, תלמידים, ויריבים של </w:t>
      </w:r>
      <w:proofErr w:type="spellStart"/>
      <w:r w:rsidR="00F1079F">
        <w:rPr>
          <w:rFonts w:hint="cs"/>
          <w:rtl/>
        </w:rPr>
        <w:t>סוקראטס</w:t>
      </w:r>
      <w:proofErr w:type="spellEnd"/>
      <w:r w:rsidR="00F1079F">
        <w:rPr>
          <w:rFonts w:hint="cs"/>
          <w:rtl/>
        </w:rPr>
        <w:t xml:space="preserve">. שימו לב איך הם מדברים בחופשיות, </w:t>
      </w:r>
      <w:r>
        <w:rPr>
          <w:rFonts w:hint="cs"/>
          <w:rtl/>
        </w:rPr>
        <w:t>ו</w:t>
      </w:r>
      <w:r w:rsidR="00F1079F">
        <w:rPr>
          <w:rFonts w:hint="cs"/>
          <w:rtl/>
        </w:rPr>
        <w:t xml:space="preserve">באלגנטיות, </w:t>
      </w:r>
      <w:r>
        <w:rPr>
          <w:rFonts w:hint="cs"/>
          <w:rtl/>
        </w:rPr>
        <w:t xml:space="preserve">על </w:t>
      </w:r>
      <w:r w:rsidR="00F1079F">
        <w:rPr>
          <w:rFonts w:hint="cs"/>
          <w:rtl/>
        </w:rPr>
        <w:t>אהבותיהם</w:t>
      </w:r>
      <w:r>
        <w:rPr>
          <w:rFonts w:hint="cs"/>
          <w:rtl/>
        </w:rPr>
        <w:t>, איך הם</w:t>
      </w:r>
      <w:r w:rsidR="00FD2471">
        <w:rPr>
          <w:rFonts w:hint="cs"/>
          <w:rtl/>
        </w:rPr>
        <w:t xml:space="preserve"> </w:t>
      </w:r>
      <w:r>
        <w:rPr>
          <w:rFonts w:hint="cs"/>
          <w:rtl/>
        </w:rPr>
        <w:t xml:space="preserve">מתארים ללא מורא </w:t>
      </w:r>
      <w:r w:rsidR="00F1079F">
        <w:rPr>
          <w:rFonts w:hint="cs"/>
          <w:rtl/>
        </w:rPr>
        <w:t xml:space="preserve">את מה </w:t>
      </w:r>
      <w:r w:rsidR="00FD2471">
        <w:rPr>
          <w:rFonts w:hint="cs"/>
          <w:rtl/>
        </w:rPr>
        <w:t xml:space="preserve">(או מי) שהם </w:t>
      </w:r>
      <w:r w:rsidR="00F1079F">
        <w:rPr>
          <w:rFonts w:hint="cs"/>
          <w:rtl/>
        </w:rPr>
        <w:t>אוהבים, ולמה.</w:t>
      </w:r>
      <w:r>
        <w:rPr>
          <w:rFonts w:hint="cs"/>
          <w:rtl/>
        </w:rPr>
        <w:t xml:space="preserve"> בדיאלוג הזה אנו רואים את מה שיוון </w:t>
      </w:r>
      <w:proofErr w:type="spellStart"/>
      <w:r>
        <w:rPr>
          <w:rFonts w:hint="cs"/>
          <w:rtl/>
        </w:rPr>
        <w:t>היתה</w:t>
      </w:r>
      <w:proofErr w:type="spellEnd"/>
      <w:r>
        <w:rPr>
          <w:rFonts w:hint="cs"/>
          <w:rtl/>
        </w:rPr>
        <w:t xml:space="preserve"> בשיאה ובתפארתה.  </w:t>
      </w:r>
    </w:p>
    <w:p w:rsidR="000925B0" w:rsidRDefault="000925B0" w:rsidP="000925B0">
      <w:pPr>
        <w:bidi/>
        <w:spacing w:after="0" w:line="240" w:lineRule="auto"/>
        <w:jc w:val="both"/>
        <w:rPr>
          <w:rtl/>
        </w:rPr>
      </w:pPr>
    </w:p>
    <w:p w:rsidR="000925B0" w:rsidRDefault="000925B0" w:rsidP="000925B0">
      <w:pPr>
        <w:bidi/>
        <w:spacing w:after="0" w:line="240" w:lineRule="auto"/>
        <w:jc w:val="both"/>
        <w:rPr>
          <w:rtl/>
        </w:rPr>
      </w:pPr>
      <w:r>
        <w:rPr>
          <w:rtl/>
        </w:rPr>
        <w:tab/>
      </w:r>
      <w:proofErr w:type="spellStart"/>
      <w:r w:rsidRPr="000925B0">
        <w:rPr>
          <w:rFonts w:hint="cs"/>
          <w:b/>
          <w:bCs/>
          <w:rtl/>
        </w:rPr>
        <w:t>אפולודורוס</w:t>
      </w:r>
      <w:proofErr w:type="spellEnd"/>
      <w:r>
        <w:rPr>
          <w:rFonts w:hint="cs"/>
          <w:rtl/>
        </w:rPr>
        <w:t xml:space="preserve"> </w:t>
      </w:r>
      <w:r>
        <w:rPr>
          <w:rtl/>
        </w:rPr>
        <w:t>–</w:t>
      </w:r>
      <w:r>
        <w:rPr>
          <w:rFonts w:hint="cs"/>
          <w:rtl/>
        </w:rPr>
        <w:t xml:space="preserve"> חברו-תלמידו של </w:t>
      </w:r>
      <w:proofErr w:type="spellStart"/>
      <w:r>
        <w:rPr>
          <w:rFonts w:hint="cs"/>
          <w:rtl/>
        </w:rPr>
        <w:t>סוקראטס</w:t>
      </w:r>
      <w:proofErr w:type="spellEnd"/>
      <w:r>
        <w:rPr>
          <w:rFonts w:hint="cs"/>
          <w:rtl/>
        </w:rPr>
        <w:t xml:space="preserve">.  </w:t>
      </w:r>
      <w:proofErr w:type="spellStart"/>
      <w:r>
        <w:rPr>
          <w:rFonts w:hint="cs"/>
          <w:rtl/>
        </w:rPr>
        <w:t>ב</w:t>
      </w:r>
      <w:r>
        <w:rPr>
          <w:rFonts w:hint="cs"/>
          <w:i/>
          <w:iCs/>
          <w:rtl/>
        </w:rPr>
        <w:t>פיידון</w:t>
      </w:r>
      <w:proofErr w:type="spellEnd"/>
      <w:r>
        <w:rPr>
          <w:rFonts w:hint="cs"/>
          <w:i/>
          <w:iCs/>
          <w:rtl/>
        </w:rPr>
        <w:t xml:space="preserve"> </w:t>
      </w:r>
      <w:r>
        <w:rPr>
          <w:rFonts w:hint="cs"/>
          <w:rtl/>
        </w:rPr>
        <w:t>הוא מתואר כמי שבוכה ללא הפסקה.</w:t>
      </w:r>
    </w:p>
    <w:p w:rsidR="000925B0" w:rsidRDefault="000925B0" w:rsidP="000925B0">
      <w:pPr>
        <w:bidi/>
        <w:spacing w:after="0" w:line="240" w:lineRule="auto"/>
        <w:jc w:val="both"/>
        <w:rPr>
          <w:rtl/>
        </w:rPr>
      </w:pPr>
      <w:r>
        <w:rPr>
          <w:rtl/>
        </w:rPr>
        <w:tab/>
      </w:r>
      <w:proofErr w:type="spellStart"/>
      <w:r w:rsidRPr="000925B0">
        <w:rPr>
          <w:rFonts w:hint="cs"/>
          <w:b/>
          <w:bCs/>
          <w:rtl/>
        </w:rPr>
        <w:t>אריסטוד</w:t>
      </w:r>
      <w:r>
        <w:rPr>
          <w:rFonts w:hint="cs"/>
          <w:b/>
          <w:bCs/>
          <w:rtl/>
        </w:rPr>
        <w:t>י</w:t>
      </w:r>
      <w:r w:rsidRPr="000925B0">
        <w:rPr>
          <w:rFonts w:hint="cs"/>
          <w:b/>
          <w:bCs/>
          <w:rtl/>
        </w:rPr>
        <w:t>מוס</w:t>
      </w:r>
      <w:proofErr w:type="spellEnd"/>
      <w:r>
        <w:rPr>
          <w:rFonts w:hint="cs"/>
          <w:b/>
          <w:bCs/>
          <w:rtl/>
        </w:rPr>
        <w:t xml:space="preserve"> </w:t>
      </w:r>
      <w:r>
        <w:rPr>
          <w:b/>
          <w:bCs/>
          <w:rtl/>
        </w:rPr>
        <w:t>–</w:t>
      </w:r>
      <w:r>
        <w:rPr>
          <w:rFonts w:hint="cs"/>
          <w:rtl/>
        </w:rPr>
        <w:t>חבר</w:t>
      </w:r>
      <w:r w:rsidR="00327F02">
        <w:rPr>
          <w:rFonts w:hint="cs"/>
          <w:rtl/>
        </w:rPr>
        <w:t xml:space="preserve">ו-תלמידו </w:t>
      </w:r>
      <w:r>
        <w:rPr>
          <w:rFonts w:hint="cs"/>
          <w:rtl/>
        </w:rPr>
        <w:t xml:space="preserve">של </w:t>
      </w:r>
      <w:proofErr w:type="spellStart"/>
      <w:r>
        <w:rPr>
          <w:rFonts w:hint="cs"/>
          <w:rtl/>
        </w:rPr>
        <w:t>סוקראטס</w:t>
      </w:r>
      <w:proofErr w:type="spellEnd"/>
      <w:r>
        <w:rPr>
          <w:rFonts w:hint="cs"/>
          <w:rtl/>
        </w:rPr>
        <w:t xml:space="preserve">. עוד יותר מוזר </w:t>
      </w:r>
      <w:proofErr w:type="spellStart"/>
      <w:r>
        <w:rPr>
          <w:rFonts w:hint="cs"/>
          <w:rtl/>
        </w:rPr>
        <w:t>מאפולודורוס</w:t>
      </w:r>
      <w:proofErr w:type="spellEnd"/>
      <w:r>
        <w:rPr>
          <w:rFonts w:hint="cs"/>
          <w:rtl/>
        </w:rPr>
        <w:t>.</w:t>
      </w:r>
    </w:p>
    <w:p w:rsidR="000925B0" w:rsidRDefault="000925B0" w:rsidP="000925B0">
      <w:pPr>
        <w:bidi/>
        <w:spacing w:after="0" w:line="240" w:lineRule="auto"/>
        <w:jc w:val="both"/>
        <w:rPr>
          <w:rtl/>
        </w:rPr>
      </w:pPr>
      <w:r>
        <w:rPr>
          <w:rtl/>
        </w:rPr>
        <w:tab/>
      </w:r>
      <w:proofErr w:type="spellStart"/>
      <w:r>
        <w:rPr>
          <w:rFonts w:hint="cs"/>
          <w:b/>
          <w:bCs/>
          <w:rtl/>
        </w:rPr>
        <w:t>אגאתון</w:t>
      </w:r>
      <w:proofErr w:type="spellEnd"/>
      <w:r>
        <w:rPr>
          <w:rFonts w:hint="cs"/>
          <w:b/>
          <w:bCs/>
          <w:rtl/>
        </w:rPr>
        <w:t xml:space="preserve">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</w:t>
      </w:r>
      <w:r>
        <w:rPr>
          <w:rFonts w:hint="cs"/>
          <w:rtl/>
        </w:rPr>
        <w:t xml:space="preserve">מחזאי </w:t>
      </w:r>
      <w:proofErr w:type="spellStart"/>
      <w:r>
        <w:rPr>
          <w:rFonts w:hint="cs"/>
          <w:rtl/>
        </w:rPr>
        <w:t>וטרגיקן</w:t>
      </w:r>
      <w:proofErr w:type="spellEnd"/>
      <w:r>
        <w:rPr>
          <w:rFonts w:hint="cs"/>
          <w:rtl/>
        </w:rPr>
        <w:t xml:space="preserve"> אתונאי מפורסם באותם ימים. המשתה מתקיים בביתו.</w:t>
      </w:r>
    </w:p>
    <w:p w:rsidR="000925B0" w:rsidRDefault="000925B0" w:rsidP="000925B0">
      <w:pPr>
        <w:bidi/>
        <w:spacing w:after="0" w:line="240" w:lineRule="auto"/>
        <w:jc w:val="both"/>
        <w:rPr>
          <w:rtl/>
        </w:rPr>
      </w:pPr>
      <w:r>
        <w:rPr>
          <w:rtl/>
        </w:rPr>
        <w:tab/>
      </w:r>
      <w:proofErr w:type="spellStart"/>
      <w:r>
        <w:rPr>
          <w:rFonts w:hint="cs"/>
          <w:b/>
          <w:bCs/>
          <w:rtl/>
        </w:rPr>
        <w:t>פיידרוס</w:t>
      </w:r>
      <w:proofErr w:type="spellEnd"/>
      <w:r>
        <w:rPr>
          <w:rFonts w:hint="cs"/>
          <w:b/>
          <w:bCs/>
          <w:rtl/>
        </w:rPr>
        <w:t xml:space="preserve">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</w:t>
      </w:r>
      <w:r>
        <w:rPr>
          <w:rFonts w:hint="cs"/>
          <w:rtl/>
        </w:rPr>
        <w:t>צעיר אתונאי, עשיר ויפה</w:t>
      </w:r>
    </w:p>
    <w:p w:rsidR="000925B0" w:rsidRDefault="000925B0" w:rsidP="000925B0">
      <w:pPr>
        <w:bidi/>
        <w:spacing w:after="0" w:line="240" w:lineRule="auto"/>
        <w:jc w:val="both"/>
        <w:rPr>
          <w:rtl/>
        </w:rPr>
      </w:pPr>
      <w:r>
        <w:rPr>
          <w:rtl/>
        </w:rPr>
        <w:tab/>
      </w:r>
      <w:proofErr w:type="spellStart"/>
      <w:r>
        <w:rPr>
          <w:rFonts w:hint="cs"/>
          <w:b/>
          <w:bCs/>
          <w:rtl/>
        </w:rPr>
        <w:t>פאוסניאס</w:t>
      </w:r>
      <w:proofErr w:type="spellEnd"/>
      <w:r>
        <w:rPr>
          <w:rFonts w:hint="cs"/>
          <w:b/>
          <w:bCs/>
          <w:rtl/>
        </w:rPr>
        <w:t xml:space="preserve"> -  </w:t>
      </w:r>
      <w:r>
        <w:rPr>
          <w:rFonts w:hint="cs"/>
          <w:rtl/>
        </w:rPr>
        <w:t xml:space="preserve">עורך דין אתונאי, אדם בעל קשרים פוליטיים </w:t>
      </w:r>
    </w:p>
    <w:p w:rsidR="000925B0" w:rsidRDefault="000925B0" w:rsidP="000925B0">
      <w:pPr>
        <w:bidi/>
        <w:spacing w:after="0" w:line="240" w:lineRule="auto"/>
        <w:jc w:val="both"/>
        <w:rPr>
          <w:rtl/>
        </w:rPr>
      </w:pPr>
      <w:r>
        <w:rPr>
          <w:rtl/>
        </w:rPr>
        <w:tab/>
      </w:r>
      <w:proofErr w:type="spellStart"/>
      <w:r w:rsidRPr="000925B0">
        <w:rPr>
          <w:rFonts w:hint="cs"/>
          <w:b/>
          <w:bCs/>
          <w:rtl/>
        </w:rPr>
        <w:t>אריקסימאכוס</w:t>
      </w:r>
      <w:proofErr w:type="spellEnd"/>
      <w:r>
        <w:rPr>
          <w:rFonts w:hint="cs"/>
          <w:b/>
          <w:bCs/>
          <w:rtl/>
        </w:rPr>
        <w:t xml:space="preserve">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</w:t>
      </w:r>
      <w:r>
        <w:rPr>
          <w:rFonts w:hint="cs"/>
          <w:rtl/>
        </w:rPr>
        <w:t xml:space="preserve">רופא אתונאי מקושר לפלג הדמוקרטי-המוני </w:t>
      </w:r>
      <w:proofErr w:type="spellStart"/>
      <w:r>
        <w:rPr>
          <w:rFonts w:hint="cs"/>
          <w:rtl/>
        </w:rPr>
        <w:t>באותנה</w:t>
      </w:r>
      <w:proofErr w:type="spellEnd"/>
    </w:p>
    <w:p w:rsidR="000925B0" w:rsidRDefault="000925B0" w:rsidP="000925B0">
      <w:pPr>
        <w:bidi/>
        <w:spacing w:after="0" w:line="240" w:lineRule="auto"/>
        <w:jc w:val="both"/>
        <w:rPr>
          <w:rtl/>
        </w:rPr>
      </w:pPr>
      <w:r>
        <w:rPr>
          <w:rtl/>
        </w:rPr>
        <w:tab/>
      </w:r>
      <w:proofErr w:type="spellStart"/>
      <w:r w:rsidRPr="000925B0">
        <w:rPr>
          <w:rFonts w:hint="cs"/>
          <w:b/>
          <w:bCs/>
          <w:rtl/>
        </w:rPr>
        <w:t>אריסטופאניס</w:t>
      </w:r>
      <w:proofErr w:type="spellEnd"/>
      <w:r>
        <w:rPr>
          <w:rFonts w:hint="cs"/>
          <w:b/>
          <w:bCs/>
          <w:rtl/>
        </w:rPr>
        <w:t xml:space="preserve">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</w:t>
      </w:r>
      <w:r>
        <w:rPr>
          <w:rFonts w:hint="cs"/>
          <w:rtl/>
        </w:rPr>
        <w:t xml:space="preserve">המחזאי הקומי הגדול, מחבר </w:t>
      </w:r>
      <w:r w:rsidRPr="000925B0">
        <w:rPr>
          <w:rFonts w:hint="cs"/>
          <w:i/>
          <w:iCs/>
          <w:rtl/>
        </w:rPr>
        <w:t>העננים</w:t>
      </w:r>
      <w:r>
        <w:rPr>
          <w:rFonts w:hint="cs"/>
          <w:rtl/>
        </w:rPr>
        <w:t xml:space="preserve"> ושלאגרים נוספים. יריבו של </w:t>
      </w:r>
      <w:proofErr w:type="spellStart"/>
      <w:r>
        <w:rPr>
          <w:rFonts w:hint="cs"/>
          <w:rtl/>
        </w:rPr>
        <w:t>סוקראטס</w:t>
      </w:r>
      <w:proofErr w:type="spellEnd"/>
    </w:p>
    <w:p w:rsidR="000925B0" w:rsidRDefault="000925B0" w:rsidP="000925B0">
      <w:pPr>
        <w:bidi/>
        <w:spacing w:after="0" w:line="240" w:lineRule="auto"/>
        <w:jc w:val="both"/>
        <w:rPr>
          <w:b/>
          <w:bCs/>
          <w:rtl/>
        </w:rPr>
      </w:pPr>
      <w:r>
        <w:rPr>
          <w:rtl/>
        </w:rPr>
        <w:tab/>
      </w:r>
      <w:proofErr w:type="spellStart"/>
      <w:r>
        <w:rPr>
          <w:rFonts w:hint="cs"/>
          <w:b/>
          <w:bCs/>
          <w:rtl/>
        </w:rPr>
        <w:t>סוקראטס</w:t>
      </w:r>
      <w:proofErr w:type="spellEnd"/>
    </w:p>
    <w:p w:rsidR="000925B0" w:rsidRPr="000925B0" w:rsidRDefault="000925B0" w:rsidP="000925B0">
      <w:pPr>
        <w:bidi/>
        <w:spacing w:after="0" w:line="240" w:lineRule="auto"/>
        <w:ind w:left="720"/>
        <w:jc w:val="both"/>
        <w:rPr>
          <w:rtl/>
        </w:rPr>
      </w:pPr>
      <w:proofErr w:type="spellStart"/>
      <w:r>
        <w:rPr>
          <w:rFonts w:hint="cs"/>
          <w:b/>
          <w:bCs/>
          <w:rtl/>
        </w:rPr>
        <w:t>אלקיביאדס</w:t>
      </w:r>
      <w:proofErr w:type="spellEnd"/>
      <w:r>
        <w:rPr>
          <w:rFonts w:hint="cs"/>
          <w:b/>
          <w:bCs/>
          <w:rtl/>
        </w:rPr>
        <w:t xml:space="preserve">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</w:t>
      </w:r>
      <w:r>
        <w:rPr>
          <w:rFonts w:hint="cs"/>
          <w:rtl/>
        </w:rPr>
        <w:t xml:space="preserve">שילוב של </w:t>
      </w:r>
      <w:proofErr w:type="spellStart"/>
      <w:r>
        <w:rPr>
          <w:rFonts w:hint="cs"/>
          <w:rtl/>
        </w:rPr>
        <w:t>אלקסנדר</w:t>
      </w:r>
      <w:proofErr w:type="spellEnd"/>
      <w:r>
        <w:rPr>
          <w:rFonts w:hint="cs"/>
          <w:rtl/>
        </w:rPr>
        <w:t xml:space="preserve"> מוקדון, יוליוס קיסר ונפוליאון. המצביא והמנהיג המוכשר ביותר באתונה באותם ימים. הוגה הרעיון של כיבוש סיציליה ומפקד הצי. אוהבו-אהובו של </w:t>
      </w:r>
      <w:proofErr w:type="spellStart"/>
      <w:r>
        <w:rPr>
          <w:rFonts w:hint="cs"/>
          <w:rtl/>
        </w:rPr>
        <w:t>סוקראטס</w:t>
      </w:r>
      <w:proofErr w:type="spellEnd"/>
      <w:r>
        <w:rPr>
          <w:rFonts w:hint="cs"/>
          <w:rtl/>
        </w:rPr>
        <w:t>.</w:t>
      </w:r>
    </w:p>
    <w:p w:rsidR="000925B0" w:rsidRPr="000925B0" w:rsidRDefault="000925B0" w:rsidP="000925B0">
      <w:pPr>
        <w:bidi/>
        <w:spacing w:after="0" w:line="240" w:lineRule="auto"/>
        <w:jc w:val="both"/>
        <w:rPr>
          <w:rtl/>
        </w:rPr>
      </w:pPr>
    </w:p>
    <w:sectPr w:rsidR="000925B0" w:rsidRPr="000925B0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D196B26"/>
    <w:multiLevelType w:val="hybridMultilevel"/>
    <w:tmpl w:val="80BAC7DE"/>
    <w:lvl w:ilvl="0" w:tplc="6CC8A864">
      <w:start w:val="1"/>
      <w:numFmt w:val="hebrew1"/>
      <w:lvlText w:val="(%1)"/>
      <w:lvlJc w:val="left"/>
      <w:pPr>
        <w:ind w:left="108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800" w:hanging="360"/>
      </w:pPr>
    </w:lvl>
    <w:lvl w:ilvl="2" w:tplc="2000001B" w:tentative="1">
      <w:start w:val="1"/>
      <w:numFmt w:val="lowerRoman"/>
      <w:lvlText w:val="%3."/>
      <w:lvlJc w:val="right"/>
      <w:pPr>
        <w:ind w:left="2520" w:hanging="180"/>
      </w:pPr>
    </w:lvl>
    <w:lvl w:ilvl="3" w:tplc="2000000F" w:tentative="1">
      <w:start w:val="1"/>
      <w:numFmt w:val="decimal"/>
      <w:lvlText w:val="%4."/>
      <w:lvlJc w:val="left"/>
      <w:pPr>
        <w:ind w:left="3240" w:hanging="360"/>
      </w:pPr>
    </w:lvl>
    <w:lvl w:ilvl="4" w:tplc="20000019" w:tentative="1">
      <w:start w:val="1"/>
      <w:numFmt w:val="lowerLetter"/>
      <w:lvlText w:val="%5."/>
      <w:lvlJc w:val="left"/>
      <w:pPr>
        <w:ind w:left="3960" w:hanging="360"/>
      </w:pPr>
    </w:lvl>
    <w:lvl w:ilvl="5" w:tplc="2000001B" w:tentative="1">
      <w:start w:val="1"/>
      <w:numFmt w:val="lowerRoman"/>
      <w:lvlText w:val="%6."/>
      <w:lvlJc w:val="right"/>
      <w:pPr>
        <w:ind w:left="4680" w:hanging="180"/>
      </w:pPr>
    </w:lvl>
    <w:lvl w:ilvl="6" w:tplc="2000000F" w:tentative="1">
      <w:start w:val="1"/>
      <w:numFmt w:val="decimal"/>
      <w:lvlText w:val="%7."/>
      <w:lvlJc w:val="left"/>
      <w:pPr>
        <w:ind w:left="5400" w:hanging="360"/>
      </w:pPr>
    </w:lvl>
    <w:lvl w:ilvl="7" w:tplc="20000019" w:tentative="1">
      <w:start w:val="1"/>
      <w:numFmt w:val="lowerLetter"/>
      <w:lvlText w:val="%8."/>
      <w:lvlJc w:val="left"/>
      <w:pPr>
        <w:ind w:left="6120" w:hanging="360"/>
      </w:pPr>
    </w:lvl>
    <w:lvl w:ilvl="8" w:tplc="200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50AD4FAE"/>
    <w:multiLevelType w:val="hybridMultilevel"/>
    <w:tmpl w:val="160E9B06"/>
    <w:lvl w:ilvl="0" w:tplc="9A486B90">
      <w:start w:val="1"/>
      <w:numFmt w:val="hebrew1"/>
      <w:lvlText w:val="(%1)"/>
      <w:lvlJc w:val="left"/>
      <w:pPr>
        <w:ind w:left="108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800" w:hanging="360"/>
      </w:pPr>
    </w:lvl>
    <w:lvl w:ilvl="2" w:tplc="2000001B" w:tentative="1">
      <w:start w:val="1"/>
      <w:numFmt w:val="lowerRoman"/>
      <w:lvlText w:val="%3."/>
      <w:lvlJc w:val="right"/>
      <w:pPr>
        <w:ind w:left="2520" w:hanging="180"/>
      </w:pPr>
    </w:lvl>
    <w:lvl w:ilvl="3" w:tplc="2000000F" w:tentative="1">
      <w:start w:val="1"/>
      <w:numFmt w:val="decimal"/>
      <w:lvlText w:val="%4."/>
      <w:lvlJc w:val="left"/>
      <w:pPr>
        <w:ind w:left="3240" w:hanging="360"/>
      </w:pPr>
    </w:lvl>
    <w:lvl w:ilvl="4" w:tplc="20000019" w:tentative="1">
      <w:start w:val="1"/>
      <w:numFmt w:val="lowerLetter"/>
      <w:lvlText w:val="%5."/>
      <w:lvlJc w:val="left"/>
      <w:pPr>
        <w:ind w:left="3960" w:hanging="360"/>
      </w:pPr>
    </w:lvl>
    <w:lvl w:ilvl="5" w:tplc="2000001B" w:tentative="1">
      <w:start w:val="1"/>
      <w:numFmt w:val="lowerRoman"/>
      <w:lvlText w:val="%6."/>
      <w:lvlJc w:val="right"/>
      <w:pPr>
        <w:ind w:left="4680" w:hanging="180"/>
      </w:pPr>
    </w:lvl>
    <w:lvl w:ilvl="6" w:tplc="2000000F" w:tentative="1">
      <w:start w:val="1"/>
      <w:numFmt w:val="decimal"/>
      <w:lvlText w:val="%7."/>
      <w:lvlJc w:val="left"/>
      <w:pPr>
        <w:ind w:left="5400" w:hanging="360"/>
      </w:pPr>
    </w:lvl>
    <w:lvl w:ilvl="7" w:tplc="20000019" w:tentative="1">
      <w:start w:val="1"/>
      <w:numFmt w:val="lowerLetter"/>
      <w:lvlText w:val="%8."/>
      <w:lvlJc w:val="left"/>
      <w:pPr>
        <w:ind w:left="6120" w:hanging="360"/>
      </w:pPr>
    </w:lvl>
    <w:lvl w:ilvl="8" w:tplc="2000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4161"/>
    <w:rsid w:val="000925B0"/>
    <w:rsid w:val="00160BCE"/>
    <w:rsid w:val="001B1FB9"/>
    <w:rsid w:val="00327F02"/>
    <w:rsid w:val="003B713C"/>
    <w:rsid w:val="00443746"/>
    <w:rsid w:val="00514161"/>
    <w:rsid w:val="00516FC6"/>
    <w:rsid w:val="007350E3"/>
    <w:rsid w:val="0083402B"/>
    <w:rsid w:val="00880DEB"/>
    <w:rsid w:val="00884CE0"/>
    <w:rsid w:val="00911059"/>
    <w:rsid w:val="00942E02"/>
    <w:rsid w:val="009B08E4"/>
    <w:rsid w:val="009F13C8"/>
    <w:rsid w:val="00AF18F7"/>
    <w:rsid w:val="00B44B65"/>
    <w:rsid w:val="00B936FC"/>
    <w:rsid w:val="00BB35F4"/>
    <w:rsid w:val="00BF4834"/>
    <w:rsid w:val="00CB14E7"/>
    <w:rsid w:val="00CC6D75"/>
    <w:rsid w:val="00CD1919"/>
    <w:rsid w:val="00CE6BC0"/>
    <w:rsid w:val="00D06290"/>
    <w:rsid w:val="00D462B8"/>
    <w:rsid w:val="00D83B4A"/>
    <w:rsid w:val="00EA0A72"/>
    <w:rsid w:val="00F1079F"/>
    <w:rsid w:val="00F80A94"/>
    <w:rsid w:val="00FD2471"/>
    <w:rsid w:val="00FF4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L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88F772"/>
  <w15:chartTrackingRefBased/>
  <w15:docId w15:val="{C9B3438A-E193-4976-8289-A82A33E60F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Palatino Linotype" w:eastAsiaTheme="minorHAnsi" w:hAnsi="Palatino Linotype" w:cstheme="minorBidi"/>
        <w:sz w:val="22"/>
        <w:szCs w:val="22"/>
        <w:lang w:val="en-IL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B71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430</Words>
  <Characters>2454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אנדי גרמן</dc:creator>
  <cp:keywords/>
  <dc:description/>
  <cp:lastModifiedBy>אנדי גרמן</cp:lastModifiedBy>
  <cp:revision>8</cp:revision>
  <dcterms:created xsi:type="dcterms:W3CDTF">2023-01-14T19:02:00Z</dcterms:created>
  <dcterms:modified xsi:type="dcterms:W3CDTF">2023-01-14T20:07:00Z</dcterms:modified>
</cp:coreProperties>
</file>