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9"/>
          <w:tab w:val="left" w:pos="6492" w:leader="none"/>
        </w:tabs>
        <w:bidi w:val="1"/>
        <w:ind w:left="0" w:right="0" w:hanging="0"/>
        <w:jc w:val="both"/>
        <w:rPr>
          <w:rFonts w:ascii="David" w:hAnsi="David" w:cs="David"/>
          <w:b/>
          <w:b/>
          <w:bCs/>
          <w:sz w:val="36"/>
          <w:szCs w:val="36"/>
          <w:lang w:val="el-GR"/>
        </w:rPr>
      </w:pPr>
      <w:r>
        <w:rPr>
          <w:rFonts w:cs="David" w:ascii="David" w:hAnsi="David"/>
          <w:b/>
          <w:bCs/>
          <w:sz w:val="36"/>
          <w:szCs w:val="36"/>
          <w:rtl w:val="true"/>
          <w:lang w:val="el-GR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Fonts w:ascii="David" w:hAnsi="David" w:cs="David"/>
          <w:b w:val="false"/>
          <w:b w:val="false"/>
          <w:bCs w:val="false"/>
          <w:rtl w:val="true"/>
        </w:rPr>
        <w:t>בד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 xml:space="preserve">יאלוג </w:t>
      </w:r>
      <w:r>
        <w:rPr>
          <w:rFonts w:ascii="David" w:hAnsi="David" w:eastAsia="Nimbus Sans" w:cs="David"/>
          <w:b w:val="false"/>
          <w:b w:val="false"/>
          <w:bCs w:val="false"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המנון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 xml:space="preserve"> של אפלטון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 xml:space="preserve">סוקראטס ומנון מנסים לעמוד על ההבדל בין סברה נכונה </w:t>
      </w:r>
      <w:r>
        <w:rPr>
          <w:rFonts w:eastAsia="Nimbus Sans" w:cs="David" w:ascii="David" w:hAnsi="David"/>
          <w:b/>
          <w:bCs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>(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lang w:val="en-US" w:eastAsia="zh-CN" w:bidi="hi-IN"/>
        </w:rPr>
        <w:t>alēthē doxa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>)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 xml:space="preserve">לידיעה </w:t>
      </w:r>
      <w:r>
        <w:rPr>
          <w:rFonts w:eastAsia="Nimbus Sans" w:cs="David" w:ascii="David" w:hAnsi="David"/>
          <w:b/>
          <w:bCs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>(</w:t>
      </w:r>
      <w:r>
        <w:rPr>
          <w:rFonts w:eastAsia="Nimbus Sans" w:cs="David" w:ascii="David" w:hAnsi="David"/>
          <w:b/>
          <w:bCs/>
          <w:i/>
          <w:iCs/>
          <w:color w:val="auto"/>
          <w:kern w:val="2"/>
          <w:sz w:val="24"/>
          <w:szCs w:val="24"/>
          <w:lang w:val="en-US" w:eastAsia="zh-CN" w:bidi="hi-IN"/>
        </w:rPr>
        <w:t>epistēmē</w:t>
      </w:r>
      <w:r>
        <w:rPr>
          <w:rFonts w:eastAsia="Nimbus Sans" w:cs="David" w:ascii="David" w:hAnsi="David"/>
          <w:b/>
          <w:bCs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>)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כחלק מדיונם סביב הסגולה הטובה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סוקראטס טוען כי הסברה הנכונה אינה נופלת בתועלתה מן הידיעה</w:t>
      </w:r>
      <w:r>
        <w:rPr>
          <w:rStyle w:val="FootnoteAnchor"/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footnoteReference w:id="2"/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ומשתמש בניסיון מחשבתי כדי לבסס את טענתו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בניסיונו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סוקראטס מציג מנהיג המוביל את אנשיו לעיר לאריסה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בהינתן שהוביל את אנשיו לשם בהצלחה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אין כל הבדל אם צלח במשימתו משום שהכיר את הדרך וידע מהי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או משום שסבר נכונה מהי אותה הדרך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בהינתן שסברתו נכונה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היא תאפשר לו להשיג את מטרתו בהצלחה אף בהיעדר ידיעה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לאור מסקנה זו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תוהה מנון מדוע פחותה יוקרתה של הסברה הטובה מזו של הידיעה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</w:pP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ab/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סוקראטס משיב שהסברות הנכונות אינן נותרות במקומן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אך כשאלו מקובעות והופכות לידיעות עולה ערכן מעצם אותו הקיבוע</w:t>
      </w:r>
      <w:r>
        <w:rPr>
          <w:rStyle w:val="FootnoteAnchor"/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footnoteReference w:id="3"/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כדי להמחיש טענה זו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סוקראטס נעזר במשל על פסל מפסליו של דידאלוס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אילו אדם שם ידו על פסל מפסלי דידאלוס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ערכו אינו גבוה משום שאינו יוותר במקומו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אך אילו אותו הפסל כבול למקומו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יופיו מקנה לו ערך רב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הסברה הנכונה משולה לפסלו של דידאלוס – על אף שבבסיסה היא דבר נאה וטוב לא פחות מן הידיעה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ערכה אינו רב משום שאינה תעמוד במקומה ותברח מנשמת האדם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עם קשירתה בכבלי הזיכרון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הסברה הנכונה הופכת לידיעה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וערכה עולה על קודמתה מטיבו של קיבוע זה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cs="David" w:ascii="David" w:hAnsi="David"/>
          <w:b w:val="false"/>
          <w:bCs w:val="false"/>
          <w:rtl w:val="true"/>
        </w:rPr>
      </w:r>
    </w:p>
    <w:p>
      <w:pPr>
        <w:pStyle w:val="Normal"/>
        <w:bidi w:val="1"/>
        <w:ind w:left="0" w:right="0" w:hanging="0"/>
        <w:jc w:val="both"/>
        <w:rPr>
          <w:rFonts w:ascii="David" w:hAnsi="David" w:cs="David"/>
          <w:b w:val="false"/>
          <w:b w:val="false"/>
          <w:bCs w:val="false"/>
        </w:rPr>
      </w:pPr>
      <w:r>
        <w:rPr>
          <w:rFonts w:ascii="David CLM" w:hAnsi="David CLM"/>
          <w:b/>
          <w:bCs/>
          <w:u w:val="single"/>
          <w:rtl w:val="true"/>
        </w:rPr>
      </w:r>
    </w:p>
    <w:p>
      <w:pPr>
        <w:pStyle w:val="Normal"/>
        <w:bidi w:val="1"/>
        <w:spacing w:lineRule="auto" w:line="360"/>
        <w:ind w:left="810" w:right="0" w:hanging="0"/>
        <w:jc w:val="center"/>
        <w:rPr>
          <w:b/>
          <w:b/>
          <w:bCs/>
          <w:u w:val="single"/>
        </w:rPr>
      </w:pPr>
      <w:r>
        <w:rPr>
          <w:rFonts w:ascii="David" w:hAnsi="David" w:eastAsia="Nimbus Sans" w:cs="David"/>
          <w:b/>
          <w:b/>
          <w:bCs/>
          <w:color w:val="auto"/>
          <w:kern w:val="2"/>
          <w:sz w:val="24"/>
          <w:sz w:val="24"/>
          <w:szCs w:val="24"/>
          <w:u w:val="single"/>
          <w:rtl w:val="true"/>
          <w:lang w:val="en-US" w:eastAsia="zh-CN" w:bidi="hi-IN"/>
        </w:rPr>
        <w:t>ביבליוגרפיה</w:t>
      </w:r>
    </w:p>
    <w:p>
      <w:pPr>
        <w:pStyle w:val="Normal"/>
        <w:bidi w:val="1"/>
        <w:spacing w:lineRule="auto" w:line="360"/>
        <w:ind w:right="0" w:hanging="0"/>
        <w:jc w:val="center"/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i-IN"/>
        </w:rPr>
      </w:pP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ליבס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יוסף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/>
          <w:i/>
          <w:iCs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כתבי אפלטון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 xml:space="preserve"> – </w:t>
      </w:r>
      <w:r>
        <w:rPr>
          <w:rFonts w:ascii="David" w:hAnsi="David" w:eastAsia="Nimbus Sans" w:cs="David"/>
          <w:b w:val="false"/>
          <w:b w:val="false"/>
          <w:bCs w:val="false"/>
          <w:i/>
          <w:i/>
          <w:iCs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כרך א</w:t>
      </w:r>
      <w:r>
        <w:rPr>
          <w:rFonts w:eastAsia="Nimbus Sans" w:cs="David" w:ascii="David" w:hAnsi="David"/>
          <w:b w:val="false"/>
          <w:bCs w:val="false"/>
          <w:i/>
          <w:iCs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>'.</w:t>
      </w:r>
    </w:p>
    <w:p>
      <w:pPr>
        <w:pStyle w:val="Normal"/>
        <w:bidi w:val="1"/>
        <w:spacing w:lineRule="auto" w:line="360"/>
        <w:ind w:right="0" w:hanging="0"/>
        <w:jc w:val="center"/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i-IN"/>
        </w:rPr>
      </w:pP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ירושלים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: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 xml:space="preserve">הוצאת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שוקן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auto"/>
          <w:spacing w:val="0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תשט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aps w:val="false"/>
          <w:smallCaps w:val="false"/>
          <w:color w:val="auto"/>
          <w:spacing w:val="0"/>
          <w:kern w:val="2"/>
          <w:sz w:val="24"/>
          <w:szCs w:val="24"/>
          <w:u w:val="none"/>
          <w:rtl w:val="true"/>
          <w:lang w:val="en-US" w:eastAsia="zh-CN" w:bidi="hi-IN"/>
        </w:rPr>
        <w:t>"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auto"/>
          <w:spacing w:val="0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>ו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i-IN"/>
        </w:rPr>
        <w:t xml:space="preserve"> 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>1954</w:t>
      </w:r>
    </w:p>
    <w:p>
      <w:pPr>
        <w:pStyle w:val="Normal"/>
        <w:bidi w:val="0"/>
        <w:spacing w:lineRule="auto" w:line="360"/>
        <w:ind w:right="0" w:hanging="0"/>
        <w:jc w:val="center"/>
        <w:rPr/>
      </w:pPr>
      <w:r>
        <w:rPr>
          <w:rFonts w:eastAsia="Nimbus Sans" w:cs="David" w:ascii="David Libre" w:hAnsi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 xml:space="preserve">Anastaplo, George, Berns, Laurence. </w:t>
      </w:r>
      <w:r>
        <w:rPr>
          <w:rFonts w:eastAsia="Nimbus Sans" w:cs="David" w:ascii="David Libre" w:hAnsi="David Libre"/>
          <w:b w:val="false"/>
          <w:bCs w:val="false"/>
          <w:i/>
          <w:iCs/>
          <w:color w:val="auto"/>
          <w:kern w:val="2"/>
          <w:sz w:val="24"/>
          <w:szCs w:val="24"/>
          <w:u w:val="none"/>
          <w:lang w:val="en-US" w:eastAsia="zh-CN" w:bidi="hi-IN"/>
        </w:rPr>
        <w:t>Plato’s Meno.</w:t>
      </w:r>
    </w:p>
    <w:p>
      <w:pPr>
        <w:pStyle w:val="Normal"/>
        <w:bidi w:val="0"/>
        <w:spacing w:lineRule="auto" w:line="360"/>
        <w:ind w:right="0" w:hanging="0"/>
        <w:jc w:val="center"/>
        <w:rPr/>
      </w:pPr>
      <w:r>
        <w:rPr>
          <w:rFonts w:eastAsia="Nimbus Sans" w:cs="David" w:ascii="David Libre" w:hAnsi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>Newburyport: Focus Pub./R.Pulling Co. , 2004</w:t>
      </w:r>
    </w:p>
    <w:p>
      <w:pPr>
        <w:pStyle w:val="Normal"/>
        <w:bidi w:val="1"/>
        <w:spacing w:lineRule="auto" w:line="360"/>
        <w:ind w:right="0" w:hanging="0"/>
        <w:jc w:val="center"/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i-IN"/>
        </w:rPr>
      </w:pPr>
      <w:r>
        <w:rPr>
          <w:rtl w:val="true"/>
        </w:rPr>
      </w:r>
    </w:p>
    <w:p>
      <w:pPr>
        <w:pStyle w:val="Normal"/>
        <w:bidi w:val="0"/>
        <w:spacing w:lineRule="auto" w:line="360"/>
        <w:ind w:left="810" w:right="0" w:hanging="0"/>
        <w:jc w:val="center"/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i-IN"/>
        </w:rPr>
      </w:pPr>
      <w:r>
        <w:rPr>
          <w:rFonts w:eastAsia="Nimbus Sans" w:cs="David" w:ascii="David" w:hAnsi="David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i-IN"/>
        </w:rPr>
      </w:r>
    </w:p>
    <w:p>
      <w:pPr>
        <w:pStyle w:val="Normal"/>
        <w:bidi w:val="1"/>
        <w:spacing w:lineRule="auto" w:line="360"/>
        <w:ind w:left="810" w:right="0" w:hanging="0"/>
        <w:jc w:val="center"/>
        <w:rPr/>
      </w:pPr>
      <w:r>
        <w:rPr>
          <w:rtl w:val="true"/>
        </w:rPr>
      </w:r>
    </w:p>
    <w:sectPr>
      <w:headerReference w:type="default" r:id="rId2"/>
      <w:footnotePr>
        <w:numFmt w:val="decimal"/>
      </w:footnotePr>
      <w:type w:val="nextPage"/>
      <w:pgSz w:w="12240" w:h="15840"/>
      <w:pgMar w:left="1134" w:right="1134" w:gutter="0" w:header="1134" w:top="1687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David">
    <w:charset w:val="01"/>
    <w:family w:val="roman"/>
    <w:pitch w:val="variable"/>
  </w:font>
  <w:font w:name="David CLM">
    <w:charset w:val="01"/>
    <w:family w:val="roman"/>
    <w:pitch w:val="variable"/>
  </w:font>
  <w:font w:name="David Libre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יוסף ליבס</w:t>
      </w:r>
      <w:r>
        <w:rPr>
          <w:rtl w:val="true"/>
        </w:rPr>
        <w:t xml:space="preserve">, </w:t>
      </w:r>
      <w:r>
        <w:rPr>
          <w:i/>
          <w:i/>
          <w:iCs/>
          <w:rtl w:val="true"/>
        </w:rPr>
        <w:t>כתבי אפלטון</w:t>
      </w:r>
      <w:r>
        <w:rPr>
          <w:i w:val="false"/>
          <w:i w:val="false"/>
          <w:iCs w:val="false"/>
          <w:rtl w:val="true"/>
        </w:rPr>
        <w:t xml:space="preserve"> </w:t>
      </w:r>
      <w:r>
        <w:rPr>
          <w:i w:val="false"/>
          <w:iCs w:val="false"/>
          <w:rtl w:val="true"/>
        </w:rPr>
        <w:t xml:space="preserve">- </w:t>
      </w:r>
      <w:r>
        <w:rPr>
          <w:rtl w:val="true"/>
        </w:rPr>
        <w:t>כרך א</w:t>
      </w:r>
      <w:r>
        <w:rPr>
          <w:rtl w:val="true"/>
        </w:rPr>
        <w:t xml:space="preserve">', </w:t>
      </w:r>
      <w:r>
        <w:rPr>
          <w:rtl w:val="true"/>
        </w:rPr>
        <w:t xml:space="preserve">עמ’ </w:t>
      </w:r>
      <w:r>
        <w:rPr/>
        <w:t>456</w:t>
      </w:r>
      <w:r>
        <w:rPr>
          <w:rtl w:val="true"/>
        </w:rPr>
        <w:t xml:space="preserve">, </w:t>
      </w:r>
      <w:r>
        <w:rPr>
          <w:rtl w:val="true"/>
        </w:rPr>
        <w:t>פס</w:t>
      </w:r>
      <w:r>
        <w:rPr>
          <w:rtl w:val="true"/>
        </w:rPr>
        <w:t xml:space="preserve">' </w:t>
      </w:r>
      <w:r>
        <w:rPr/>
        <w:t>506</w:t>
      </w:r>
    </w:p>
  </w:footnote>
  <w:footnote w:id="3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George A</w:t>
      </w:r>
      <w:r>
        <w:rPr>
          <w:rFonts w:eastAsia="Nimbus Sans" w:cs="FreeSans"/>
          <w:i/>
          <w:iCs/>
          <w:color w:val="auto"/>
          <w:kern w:val="2"/>
          <w:sz w:val="20"/>
          <w:szCs w:val="20"/>
          <w:lang w:val="en-US" w:eastAsia="zh-CN" w:bidi="hi-IN"/>
        </w:rPr>
        <w:t xml:space="preserve">nastaplo </w:t>
      </w:r>
      <w:r>
        <w:rPr>
          <w:rFonts w:eastAsia="Nimbus Sans" w:cs="FreeSans"/>
          <w:i/>
          <w:iCs/>
          <w:color w:val="auto"/>
          <w:kern w:val="2"/>
          <w:sz w:val="20"/>
          <w:szCs w:val="20"/>
          <w:lang w:val="en-US" w:eastAsia="zh-CN" w:bidi="hi-IN"/>
        </w:rPr>
        <w:t>and</w:t>
      </w:r>
      <w:r>
        <w:rPr>
          <w:rFonts w:eastAsia="Nimbus Sans" w:cs="FreeSans"/>
          <w:i/>
          <w:iCs/>
          <w:color w:val="auto"/>
          <w:kern w:val="2"/>
          <w:sz w:val="20"/>
          <w:szCs w:val="20"/>
          <w:lang w:val="en-US" w:eastAsia="zh-CN" w:bidi="hi-IN"/>
        </w:rPr>
        <w:t xml:space="preserve"> Laurence Berns, Plato’s Men</w:t>
      </w:r>
      <w:r>
        <w:rPr>
          <w:i/>
          <w:iCs/>
        </w:rPr>
        <w:t>o</w:t>
      </w:r>
      <w:r>
        <w:rPr>
          <w:rFonts w:eastAsia="Nimbus Sans" w:cs="FreeSans"/>
          <w:i/>
          <w:iCs/>
          <w:color w:val="auto"/>
          <w:kern w:val="2"/>
          <w:sz w:val="20"/>
          <w:szCs w:val="20"/>
          <w:lang w:val="en-US" w:eastAsia="zh-CN" w:bidi="hi-IN"/>
        </w:rPr>
        <w:t xml:space="preserve"> (</w:t>
      </w:r>
      <w:r>
        <w:rPr>
          <w:rFonts w:eastAsia="Nimbus Sans" w:cs="FreeSans"/>
          <w:b w:val="false"/>
          <w:bCs w:val="false"/>
          <w:i/>
          <w:iCs/>
          <w:color w:val="auto"/>
          <w:kern w:val="2"/>
          <w:sz w:val="20"/>
          <w:szCs w:val="20"/>
          <w:u w:val="none"/>
          <w:lang w:val="en-US" w:eastAsia="zh-CN" w:bidi="hi-IN"/>
        </w:rPr>
        <w:t>Newburyport: Focus Pub./R.Pulling Co., 2004)</w:t>
      </w:r>
      <w:r>
        <w:rPr>
          <w:rFonts w:eastAsia="Nimbus Sans" w:cs="FreeSans"/>
          <w:i/>
          <w:iCs/>
          <w:color w:val="auto"/>
          <w:kern w:val="2"/>
          <w:sz w:val="20"/>
          <w:szCs w:val="20"/>
          <w:lang w:val="en-US" w:eastAsia="zh-CN" w:bidi="hi-IN"/>
        </w:rPr>
        <w:t xml:space="preserve">, </w:t>
      </w:r>
      <w:r>
        <w:rPr>
          <w:rFonts w:eastAsia="Nimbus Sans" w:cs="FreeSans"/>
          <w:i w:val="false"/>
          <w:iCs w:val="false"/>
          <w:color w:val="auto"/>
          <w:kern w:val="2"/>
          <w:sz w:val="20"/>
          <w:szCs w:val="20"/>
          <w:lang w:val="en-US" w:eastAsia="zh-CN" w:bidi="hi-IN"/>
        </w:rPr>
        <w:t>p.42, para. 516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1"/>
      <w:jc w:val="left"/>
      <w:rPr>
        <w:rFonts w:ascii="David" w:hAnsi="David" w:eastAsia="Nimbus Sans" w:cs="David"/>
        <w:b/>
        <w:b/>
        <w:bCs/>
        <w:i w:val="false"/>
        <w:i w:val="false"/>
        <w:iCs w:val="false"/>
        <w:color w:val="auto"/>
        <w:kern w:val="2"/>
        <w:sz w:val="24"/>
        <w:szCs w:val="24"/>
        <w:u w:val="none"/>
        <w:lang w:val="en-US" w:eastAsia="zh-CN" w:bidi="hi-IN"/>
      </w:rPr>
    </w:pPr>
    <w:r>
      <w:rPr>
        <w:rFonts w:eastAsia="Nimbus Sans" w:cs="David" w:ascii="David" w:hAnsi="David"/>
        <w:b/>
        <w:bCs/>
        <w:i w:val="false"/>
        <w:iCs w:val="false"/>
        <w:color w:val="auto"/>
        <w:kern w:val="2"/>
        <w:sz w:val="24"/>
        <w:szCs w:val="24"/>
        <w:u w:val="none"/>
        <w:lang w:val="en-US" w:eastAsia="zh-CN" w:bidi="hi-IN"/>
      </w:rPr>
      <w:t>207130253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righ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righ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righ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righ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righ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righ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righ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righ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righ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imbus Sans" w:cs="Free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imbus Sans" w:cs="FreeSans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Nimbus Sans" w:cs="Nimbus Sans"/>
      <w:b/>
      <w:bCs/>
      <w:sz w:val="48"/>
      <w:szCs w:val="48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character" w:styleId="WW8Num1z0">
    <w:name w:val="WW8Num1z0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Anchor">
    <w:name w:val="End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imbus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Endnote">
    <w:name w:val="Endnote Text"/>
    <w:basedOn w:val="Normal"/>
    <w:pPr>
      <w:suppressLineNumbers/>
      <w:ind w:left="340" w:hanging="340"/>
    </w:pPr>
    <w:rPr>
      <w:sz w:val="20"/>
      <w:szCs w:val="20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5519</TotalTime>
  <Application>LibreOffice/7.4.3.2$Linux_X86_64 LibreOffice_project/40$Build-2</Application>
  <AppVersion>15.0000</AppVersion>
  <Pages>2</Pages>
  <Words>249</Words>
  <Characters>1205</Characters>
  <CharactersWithSpaces>1447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2022-11-26T15:19:18Z</dcterms:created>
  <dc:creator/>
  <dc:description/>
  <dc:language>en-US</dc:language>
  <cp:lastModifiedBy/>
  <dcterms:modified xsi:type="dcterms:W3CDTF">2022-12-19T17:31:09Z</dcterms:modified>
  <cp:revision>135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