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8"/>
        <w:ind w:left="0" w:right="0" w:hanging="0"/>
        <w:rPr/>
      </w:pPr>
      <w:r>
        <w:rPr>
          <w:rFonts w:cs="Times New Roman"/>
          <w:b/>
          <w:bCs/>
          <w:i w:val="false"/>
          <w:iCs w:val="false"/>
          <w:sz w:val="24"/>
          <w:szCs w:val="24"/>
          <w:u w:val="none"/>
          <w:lang w:val="en-GB"/>
        </w:rPr>
        <w:t>I</w:t>
      </w:r>
      <w:r>
        <w:rPr>
          <w:rFonts w:cs="Times New Roman"/>
          <w:b/>
          <w:bCs/>
          <w:i w:val="false"/>
          <w:iCs w:val="false"/>
          <w:sz w:val="24"/>
          <w:szCs w:val="24"/>
          <w:u w:val="none"/>
          <w:rtl w:val="true"/>
          <w:lang w:val="en-GB"/>
        </w:rPr>
        <w:t>.</w:t>
      </w:r>
    </w:p>
    <w:p>
      <w:pPr>
        <w:pStyle w:val="Style8"/>
        <w:ind w:left="0" w:right="0" w:hanging="0"/>
        <w:rPr/>
      </w:pP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(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lang w:val="en-GB"/>
        </w:rPr>
        <w:t>1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)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בפתיחת הראשון מספרי </w:t>
      </w:r>
      <w:r>
        <w:rPr>
          <w:rFonts w:ascii="Times New Roman" w:hAnsi="Times New Roman" w:cs="Times New Roman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  <w:lang w:val="en-GB"/>
        </w:rPr>
        <w:t>האתיקה הניקומאכית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אריסטו חושף בפנינו את מושא חקירותו – הטוב – ומיד מגדיר אותו הטוב מהו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: “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בצדק הגדירו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אפוא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את הטוב כאותו ענין שאליו שואף הכל”</w:t>
      </w:r>
      <w:r>
        <w:rPr>
          <w:rStyle w:val="FootnoteAnchor"/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footnoteReference w:id="2"/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הגדרה זו מבססת מיד את המוסר האריסטוטלי כטלאולוגי – מבוסס תכלית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לעומתו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תורת המוסר הקאנטיאנית הינה דאונטולוגית – מבוססת חובה – כפי שניכר בפתיחת </w:t>
      </w:r>
      <w:r>
        <w:rPr>
          <w:rFonts w:ascii="Times New Roman" w:hAnsi="Times New Roman" w:cs="Times New Roman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  <w:lang w:val="en-GB"/>
        </w:rPr>
        <w:t>הנחת יסוד למטאפיזיקה של המידות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: “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לא יצויר דבר בעולם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ואף לא מחוץ לעולם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שיוכל להחשב לטוב בלא הגבלה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אלא הרצון הטוב בלבד”</w:t>
      </w:r>
      <w:r>
        <w:rPr>
          <w:rStyle w:val="FootnoteAnchor"/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footnoteReference w:id="3"/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הגדרה זו של הטוב כתנאי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ולא כתכלית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הופכת מיד את הקערה על פיה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כפי שניכר בהמשך חקירתו של קאנט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(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).</w:t>
      </w:r>
    </w:p>
    <w:p>
      <w:pPr>
        <w:pStyle w:val="Style8"/>
        <w:ind w:left="0" w:right="0" w:hanging="0"/>
        <w:rPr/>
      </w:pP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ab/>
        <w:t xml:space="preserve">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אריסטו מאפיין את הטוב בשלושה מאפיינים עיקריים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: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הטוב ניצב בראש כל הטובין – כל התכליות האחרות משרתות אותו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הטוב הוא מושלם – אין להוסיף לו או לגרוע ממנו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והטוב הוא אוטארקי – מספיק לעצמו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בבואו לאפיין את הרצון הטוב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קאנט נוקט במבנה דומה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בתגובה ישירה להגותו של אריסטו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בין שני ההוגים ישנן הסכמות באשר לאופיו של הטוב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: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גם הטוב הקנטיאני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בדמותו של הרצון הטוב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ניצב בראש סדר הטובין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- “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וכשהוא נידון בפני עצמו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ערכו עולה לאין ערוך על ערך כל הדברים שהוא עלול לפעול לטובת איזו נטיה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ואפילו לטובת סכום כל הנטיות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"</w:t>
      </w:r>
      <w:r>
        <w:rPr>
          <w:rStyle w:val="FootnoteAnchor"/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footnoteReference w:id="4"/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ואף הוא אוטארקי ומושלם – “ואף אם כל מאמציו הגדולים ביותר ישובו ריקם… בכל זאת יהא הרצון עומד ומבהיק כאבן חן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כדבר שערכו המלא בו בעצמו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התועלת שבו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או אי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-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פוריותו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אינה יכולה להוסיף על ערכו זה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אף לא לגרוע ממנו מאומה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"</w:t>
      </w:r>
      <w:r>
        <w:rPr>
          <w:rStyle w:val="FootnoteAnchor"/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footnoteReference w:id="5"/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אלא שבניגוד גמור לתכלית העליונה האריסטוטלית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הרצון הטוב הוא בלתי מותנה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- “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הרצון הטוב אינו טוב ע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"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י מה שהוא גורם או מצליח לעשות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לא ע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"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י הכשרתו להשגת איזו מטרה שהיא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כי אם טוב הוא מכוח רצייתו בלבד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כלומר כשהוא לעצמו”</w:t>
      </w:r>
      <w:r>
        <w:rPr>
          <w:rStyle w:val="FootnoteAnchor"/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footnoteReference w:id="6"/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בעוד שהתכלית העליונה היא הטוב משום שכל התכליתות משרתות אותה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הרצון הטוב הקנטיאני ק ו ד ם לכל טוב אחר – תכלית היא טובה משום שעומד מאחוריה רצון טוב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(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).</w:t>
      </w:r>
    </w:p>
    <w:p>
      <w:pPr>
        <w:pStyle w:val="Style8"/>
        <w:ind w:left="0" w:right="0" w:hanging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(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lang w:val="en-GB"/>
        </w:rPr>
        <w:t>2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)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טענת הרלטיביזם המוסרי הינה שהריבוי בתורות המוסר השונות נובע מהיעדרה של אמת מוסרית אחת מוחלטת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האנטי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-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רלטוויזים מתנגד להנחה זו בכך שמספק מספר נימוקים חלופיים לריבוי זה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: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ראשית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ניתן לטעון כי הריבוי בתורות מוסר נובע מתפיסת מציאות שונה בין תרבויות – השונות של המידע אליו חשופים כל אדם וכל תרבות הנבדלים אלו מאלו יוצרת תפיסות מציאות שונות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ותורות מוסר נבדלות בהתאם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שנית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ניתן לטעון כי אין בכוחנו להניח כי תורות מוסריות כוזבות אכן יישללו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כפי שקורה במדע האמפירי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-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המוסר אינו נתון לביקורת עמיתים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ותורות המוסר אינן נשענות על עיקרון משותף דוגמת חקר האמת של המדע האמפירי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לפיכך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אין כל הכרח שאלו המחזיקים בתורה מוסרית שגויה יזנחו אותה לטובת התורה הטובה יותר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לבסוף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ניתן לטעון כי רבות מהמחלוקות הנדמות כמוסריות הינן למעשה מחלוקות יישומיות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: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גם בהינתן שתרבויות שונות מחזיקות באותו עיקרון מוסרי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התנאים והאילוצים השונים שבהן מתקיימות גוררים יישום שונה של עקרונות אלו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-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מה שעלול לעורר מצג שווא באשר לעיקרון המוסרי שהן מחזיקות בו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(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).</w:t>
      </w:r>
    </w:p>
    <w:p>
      <w:pPr>
        <w:pStyle w:val="Style8"/>
        <w:ind w:left="0" w:right="0" w:hanging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cs="Times New Roman"/>
          <w:sz w:val="24"/>
          <w:szCs w:val="24"/>
          <w:rtl w:val="true"/>
          <w:lang w:val="en-GB"/>
        </w:rPr>
      </w:r>
    </w:p>
    <w:p>
      <w:pPr>
        <w:pStyle w:val="Style8"/>
        <w:ind w:left="0" w:right="0" w:hanging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cs="Times New Roman"/>
          <w:sz w:val="24"/>
          <w:szCs w:val="24"/>
          <w:rtl w:val="true"/>
          <w:lang w:val="en-GB"/>
        </w:rPr>
      </w:r>
    </w:p>
    <w:p>
      <w:pPr>
        <w:pStyle w:val="Style8"/>
        <w:ind w:left="0" w:right="0" w:hanging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במאמרו ‘רלטוויזם’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דוויד וונג טוען כנגד הרלטוויזם כי ייתכן והטוב האנושי רחב מדי מכדי לכנסו לאמת מוסרית אחת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הריבוי בתורות המוסר אינו נובע בהכרח בהיעדרה של אמת מוסרית אחת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-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נהפוכו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: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הריבוי נובע מקיומה של י ו ת ר מאמת מוסרית אחת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כדוגמה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מציב בפנינו וונג את ההבדל בין התפיסה המוסרית של התרבות המערבית למקבילתה במזרח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הטוב בעולם המערבי הוא טובתו של הפרט – חירותו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אושרו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והגשמתו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לעומת תפיסה זו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הטוב בעיניי תרבות המזרח הוא טובתו של הכלל – המשפחה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הקהילה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והאומה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בין תפיסות אלו אין הכרעה ברורה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: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טובת הפרט וטובת הכלל נדמות כאמיתות מוסריות שוות ערך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ללא הכרעה ברורה בדבר עליונתה של אחת על האחרת</w:t>
      </w:r>
      <w:r>
        <w:rPr>
          <w:rStyle w:val="FootnoteAnchor"/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footnoteReference w:id="7"/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(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).</w:t>
      </w:r>
    </w:p>
    <w:p>
      <w:pPr>
        <w:pStyle w:val="Style8"/>
        <w:bidi w:val="1"/>
        <w:spacing w:lineRule="auto" w:line="360" w:before="0" w:after="0"/>
        <w:ind w:left="0" w:right="0" w:hanging="0"/>
        <w:contextualSpacing/>
        <w:rPr/>
      </w:pPr>
      <w:r>
        <w:rPr/>
        <w:t>II</w:t>
      </w:r>
      <w:r>
        <w:rPr>
          <w:rtl w:val="true"/>
        </w:rPr>
        <w:t>.</w:t>
      </w:r>
    </w:p>
    <w:p>
      <w:pPr>
        <w:pStyle w:val="Style8"/>
        <w:bidi w:val="1"/>
        <w:spacing w:lineRule="auto" w:line="360" w:before="0" w:after="0"/>
        <w:ind w:left="0" w:right="0" w:hanging="0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cs="Times New Roman"/>
          <w:b w:val="false"/>
          <w:bCs w:val="false"/>
          <w:sz w:val="24"/>
          <w:szCs w:val="24"/>
          <w:rtl w:val="true"/>
          <w:lang w:val="en-GB"/>
        </w:rPr>
        <w:t>(</w:t>
      </w:r>
      <w:r>
        <w:rPr>
          <w:rFonts w:cs="Times New Roman"/>
          <w:b w:val="false"/>
          <w:bCs w:val="false"/>
          <w:sz w:val="24"/>
          <w:szCs w:val="24"/>
          <w:lang w:val="en-GB"/>
        </w:rPr>
        <w:t>1</w:t>
      </w:r>
      <w:r>
        <w:rPr>
          <w:rFonts w:cs="Times New Roman"/>
          <w:b w:val="false"/>
          <w:bCs w:val="false"/>
          <w:sz w:val="24"/>
          <w:szCs w:val="24"/>
          <w:rtl w:val="true"/>
          <w:lang w:val="en-GB"/>
        </w:rPr>
        <w:t xml:space="preserve">) </w:t>
      </w:r>
      <w:r>
        <w:rPr>
          <w:rFonts w:ascii="Times New Roman" w:hAnsi="Times New Roman" w:cs="Times New Roman"/>
          <w:b w:val="false"/>
          <w:b w:val="false"/>
          <w:bCs w:val="false"/>
          <w:sz w:val="24"/>
          <w:sz w:val="24"/>
          <w:szCs w:val="24"/>
          <w:rtl w:val="true"/>
          <w:lang w:val="en-GB"/>
        </w:rPr>
        <w:t xml:space="preserve">בפרק הרביעי של ספרו </w:t>
      </w:r>
      <w:r>
        <w:rPr>
          <w:rFonts w:ascii="Times New Roman" w:hAnsi="Times New Roman" w:cs="Times New Roman"/>
          <w:b w:val="false"/>
          <w:b w:val="false"/>
          <w:bCs w:val="false"/>
          <w:i/>
          <w:i/>
          <w:iCs/>
          <w:sz w:val="24"/>
          <w:sz w:val="24"/>
          <w:szCs w:val="24"/>
          <w:rtl w:val="true"/>
          <w:lang w:val="en-GB"/>
        </w:rPr>
        <w:t>התועלתיות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הפילוסוף ג’ון סטיוארט מיל מנסה לעמוד על טיבו של האושר כקריטריון היחידי למוסר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 xml:space="preserve">המוסר התועלתני מתבסס על ‘עיקרון האושר המירבי’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>(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lang w:val="en-GB"/>
        </w:rPr>
        <w:t>Greatest Happiness Principle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),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לפיו תכליתו של המוסר היא הנאה מרובה ככל האפשר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תוך צמצום כאב וסבל ככל שניתן</w:t>
      </w:r>
      <w:r>
        <w:rPr>
          <w:rStyle w:val="FootnoteAnchor"/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footnoteReference w:id="8"/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לפי הגדרה זו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משום שכל בני האדם רוצים להיות מאושרים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האושר בוודאי נכלל כקריטריון מוסרי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אלא שמיל מבקש לטעון יותר מכך – שהאושר אינו רק קריטריון מוסרי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 xml:space="preserve">אלא הקריטריון המוסרי ה ב ל ע ד י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>(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א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>).</w:t>
      </w:r>
    </w:p>
    <w:p>
      <w:pPr>
        <w:pStyle w:val="Style8"/>
        <w:bidi w:val="1"/>
        <w:spacing w:lineRule="auto" w:line="360" w:before="0" w:after="0"/>
        <w:ind w:left="0" w:right="0" w:hanging="0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ab/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 xml:space="preserve">ביסוס טענה זו מעורר לא מעט קשיים סביב הכיוון ההסברי של הטוב בכלל והמידה הטובה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>(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lang w:val="en-GB"/>
        </w:rPr>
        <w:t>Virtue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)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בפרט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לשם הכתרתו כקריטריון המוסרי היחיד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אין רציית האושר מספקת לבדה – אלא היעדר כל רצייה אחרת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מצב העניינים בעולם עומד לכאורה בסתירה לטענה זו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: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בני אדם מתיימרים לרצות דברים רבים הנבדלים מן האושר – דוגמת כסף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עוצמה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ומידות טובות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לעיתים אף נדמה כי יקריבו אושרם בכדי לספק רציות אלו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אלא שכל התכליות הללו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מעצם יכולתן להביא אושר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נהפכות מכוח הקישור לאותו האושר תכליות כשלעצמן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האושר אינו תכלית אחת רציפה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אלא מכלול המורכב מתכליות רבות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הרצוית הן בתור האמצעי להגשמתו והן כשלעצמן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דגש מיוחד ניתן למידה הטובה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: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האדם הפועל במידה טובה כשלעצמה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בהיעדר מניעים זרים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אף כאשר זו נדמית כסתירה ישירה לאושרו שלו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עושה כן משום שהיעדרה מסב לו כאב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ונוכחותה מסבה לו אושר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לפיכך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הוא פועל בהתאם לעיקרון התועלתני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וניתן לומר כי המידה הטובה היא תכלית המהווה חלק מהאושר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 xml:space="preserve">אלא שמתשובה זו עולה דילמת אאותיפרון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-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האם אותה המידה הטובה טובה משום שהיא חלק מהאושר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או שמא היא חלק מהאושר משום שהיא טובה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?.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כשם שאאותפירון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בדיאלוג האפלטוני הנושא את שמו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 xml:space="preserve">מנסה יחד עם סוקראטס לעמוד על הכיוון ההסברי למהותה של המידה הטובה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>(‘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האם אהובה היא החסידות מפני שחסידות היא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או מפני שהיא אהובה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על כן היא חסידות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?’),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כך מנסה גם מיל להתחקות אחר הכיוון ההסברי של המידה הטובה התועלתנית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>. (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>).</w:t>
      </w:r>
    </w:p>
    <w:p>
      <w:pPr>
        <w:pStyle w:val="Style8"/>
        <w:bidi w:val="1"/>
        <w:spacing w:lineRule="auto" w:line="360" w:before="0" w:after="0"/>
        <w:ind w:left="0" w:right="0" w:hanging="0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ab/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נדמה כי מיל בוחר באפשרות השנייה – המייחסת את הטוב שבמידה הטובה לכך שזו מסבה לו אושר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מיל עומד על כך שהמידות הטובות אינן רצויות באופן טבעי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 xml:space="preserve">אלא מכוח הקישור עם אושרו הפרטי של כל אדם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-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כפי שעולה מהקבלתן לתכליות דוגמת כסף ועוצמה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מבחירה זו עולה קושי עמוק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: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התועלתנות דורשת מהאדם לפעול בהתאם לעיקרון התועלתני – הנשען על רצייתו הבלעדית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הטבעית והמובנת מאליה של האושר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מתוך המידות הטובות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 xml:space="preserve">התועלתנות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אף מרחיקה וטוענת כי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shd w:fill="auto" w:val="clear"/>
          <w:rtl w:val="true"/>
          <w:lang w:val="en-GB"/>
        </w:rPr>
        <w:t xml:space="preserve"> אין תודעתו של אדם במצב ראוי לתועלתנות בהיעדר רציית המידות הטובות כשלעצמן</w:t>
      </w:r>
      <w:r>
        <w:rPr>
          <w:rStyle w:val="FootnoteAnchor"/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shd w:fill="BF0041" w:val="clear"/>
          <w:rtl w:val="true"/>
          <w:lang w:val="en-GB"/>
        </w:rPr>
        <w:footnoteReference w:id="9"/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 xml:space="preserve"> – אלא שבאותה נשימה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היא קובעת כי מידות אלו א י נ ן חלק טבעי מהתכלית המוחלטת של התועלתנות – האושר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מכוח רצייתו הטבעית של האושר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על האדם לפעול במידה טובה – בלעדיה לא יוכל להגשים את אושרו – אלא שזו אינה חלק טבעי מהאושר כלל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הועיל ואדם מסוים אינו חפץ במידה הטובה – משום שאינה מסבה לו אושר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 xml:space="preserve">או משום שהיעדרה אינו מסב לו כאב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 xml:space="preserve">-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נדמה כי לא נותרנו אלא עם צל חיוור של ההדוניזם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>. (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  <w:lang w:val="en-GB"/>
        </w:rPr>
        <w:t>ג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rtl w:val="true"/>
          <w:lang w:val="en-GB"/>
        </w:rPr>
        <w:t>).</w:t>
      </w:r>
    </w:p>
    <w:p>
      <w:pPr>
        <w:pStyle w:val="Style8"/>
        <w:ind w:left="0" w:right="0" w:hanging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cs="Times New Roman"/>
          <w:sz w:val="24"/>
          <w:szCs w:val="24"/>
          <w:rtl w:val="true"/>
          <w:lang w:val="en-GB"/>
        </w:rPr>
      </w:r>
    </w:p>
    <w:p>
      <w:pPr>
        <w:pStyle w:val="Style8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(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lang w:val="en-GB"/>
        </w:rPr>
        <w:t>2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)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סוקראטס מגדיר את הסגולה הטובה כתכונת אופי המופעלת היגיון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: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האדם האמיץ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שבתבונתו פעל באומץ כאשר המצב דורש זאת – הפגין סגולה טובה של אומץ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אילו לא היה אותו אדם נבון ידו להפעיל את שיקול ההיגיון הנכון באשר מתי לפעול באומץ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ודאי שלא היה אמיץ – ובכך מתנה התבונה את הסגולה הטובה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לעומתו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אריסטו סבור כי אותה תבונה משחקת תפקיד מוקדם יותר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סברה המשתקפת בהבחנתו בין תכונות האופי – הסגולה הטבעית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כלשונו – לבין הסגולה הטובה האמיתית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האחת מוטבעת בנו מלידתנו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והשנייה – נובעת מטיפוחה התבוני של הראשונה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האדם הנולד אמיץ אינו בעל הסגולה הטובה של האומץ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אילו מתוך חינוכו הטוב ותבונתו יטפח את האומץ המולד שבו למידה הנכונה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אז יהיה בעל סגולה טובה אמיתית זו – וזו אינה מותנית במצבים אשר ייאלץ להתמודד איתם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הסגולה הטובה הסוקראטית הינה תוצר של מצב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ונשענת על היגיון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הסגולה הטובה האריסטוטלית הינה טיפוח של תכונות האופי הטבעיות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ונשענת על התבונה לעשות כן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(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).</w:t>
      </w:r>
    </w:p>
    <w:p>
      <w:pPr>
        <w:pStyle w:val="Style8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ab/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בהתנייה זו של הסגולה הטובה בתבונה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אריסטו מתנה הלכה למעשה את הפעולה המוסרית בהתקיימותו של תנאי קודם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בדומה לכך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בהגותו בדבר הרצון הטוב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קאנט מבצע אף הוא התנייה שכזו  – המשתקפת במושג החובה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החובה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לפי קאנט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אינה התגלמות של הרצון הטוב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כשזה מוגבל בהגבלות סובייקטיביות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היושר והצדקה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למשל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הן חובות – משום שעומד מאחוריהן רצון טוב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ואינן אלא השתקפות שלו במצבים מסוימים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קאנט סבור שרק המעשה אשר נעשה מתוך החובה – ולא בהתאם לחובה – הוא בעל ערך מוסרי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;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הרצון הטוב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כפי שניכר בחובה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מתנה את ערכה המוסרי של כל פעולה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.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כשם שהסגולה שהתבונה מתנה את המוסר בדמותה של הסגולה הטובה האריסטוטלית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החובה הקנטיאנית מתנה את ערכו המוסרי של כל מעשה – ולאור דמיון זה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 xml:space="preserve">, 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 xml:space="preserve">סביר להניח שקאנט יצודד באריסטו במחלוקת זו 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(</w:t>
      </w:r>
      <w:r>
        <w:rPr>
          <w:rFonts w:ascii="Times New Roman" w:hAnsi="Times New Roman" w:cs="Times New Roman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  <w:lang w:val="en-GB"/>
        </w:rPr>
        <w:t>ב</w:t>
      </w:r>
      <w:r>
        <w:rPr>
          <w:rFonts w:cs="Times New Roman"/>
          <w:b w:val="false"/>
          <w:bCs w:val="false"/>
          <w:i w:val="false"/>
          <w:iCs w:val="false"/>
          <w:sz w:val="24"/>
          <w:szCs w:val="24"/>
          <w:u w:val="none"/>
          <w:rtl w:val="true"/>
          <w:lang w:val="en-GB"/>
        </w:rPr>
        <w:t>).</w:t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693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אריסטו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 xml:space="preserve">אתיקה ניקומאכית – </w:t>
      </w:r>
      <w:r>
        <w:rPr>
          <w:i w:val="false"/>
          <w:i w:val="false"/>
          <w:iCs w:val="false"/>
          <w:rtl w:val="true"/>
        </w:rPr>
        <w:t>ספר א’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בתוך</w:t>
      </w:r>
      <w:r>
        <w:rPr>
          <w:i w:val="false"/>
          <w:iCs w:val="false"/>
          <w:rtl w:val="true"/>
        </w:rPr>
        <w:t>:</w:t>
      </w:r>
      <w:r>
        <w:rPr>
          <w:i/>
          <w:iCs/>
          <w:rtl w:val="true"/>
        </w:rPr>
        <w:t xml:space="preserve"> </w:t>
      </w:r>
      <w:r>
        <w:rPr>
          <w:i/>
          <w:i/>
          <w:iCs/>
          <w:rtl w:val="true"/>
        </w:rPr>
        <w:t>אתיקה מהדורת ניקומאכוס</w:t>
      </w:r>
      <w:r>
        <w:rPr>
          <w:i w:val="false"/>
          <w:iCs w:val="false"/>
          <w:rtl w:val="true"/>
        </w:rPr>
        <w:t>.</w:t>
      </w:r>
      <w:r>
        <w:rPr>
          <w:i/>
          <w:iCs/>
          <w:rtl w:val="true"/>
        </w:rPr>
        <w:t xml:space="preserve"> </w:t>
      </w:r>
      <w:r>
        <w:rPr>
          <w:rtl w:val="true"/>
        </w:rPr>
        <w:t>תרג</w:t>
      </w:r>
      <w:r>
        <w:rPr>
          <w:rtl w:val="true"/>
        </w:rPr>
        <w:t xml:space="preserve">' </w:t>
      </w:r>
      <w:r>
        <w:rPr>
          <w:rtl w:val="true"/>
        </w:rPr>
        <w:t>י</w:t>
      </w:r>
      <w:r>
        <w:rPr>
          <w:rtl w:val="true"/>
        </w:rPr>
        <w:t xml:space="preserve">. </w:t>
      </w:r>
      <w:r>
        <w:rPr>
          <w:rtl w:val="true"/>
        </w:rPr>
        <w:t>ליבס</w:t>
      </w:r>
      <w:r>
        <w:rPr>
          <w:rtl w:val="true"/>
        </w:rPr>
        <w:t xml:space="preserve">, </w:t>
      </w:r>
      <w:r>
        <w:rPr>
          <w:rtl w:val="true"/>
        </w:rPr>
        <w:t>הוצאת שוקן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15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2</w:t>
      </w:r>
      <w:r>
        <w:rPr>
          <w:rtl w:val="true"/>
        </w:rPr>
        <w:t>.</w:t>
      </w:r>
    </w:p>
  </w:footnote>
  <w:footnote w:id="3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קאנט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 xml:space="preserve">הנחת יסוד למטפיסיקה של </w:t>
      </w:r>
      <w:r>
        <w:rPr>
          <w:i w:val="false"/>
          <w:i w:val="false"/>
          <w:iCs w:val="false"/>
          <w:rtl w:val="true"/>
        </w:rPr>
        <w:t>המידות</w:t>
      </w:r>
      <w:r>
        <w:rPr>
          <w:i/>
          <w:iCs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תרג</w:t>
      </w:r>
      <w:r>
        <w:rPr>
          <w:i w:val="false"/>
          <w:iCs w:val="false"/>
          <w:rtl w:val="true"/>
        </w:rPr>
        <w:t>'</w:t>
      </w:r>
      <w:r>
        <w:rPr>
          <w:rtl w:val="true"/>
        </w:rPr>
        <w:t xml:space="preserve"> </w:t>
      </w:r>
      <w:r>
        <w:rPr>
          <w:rtl w:val="true"/>
        </w:rPr>
        <w:t>מ</w:t>
      </w:r>
      <w:r>
        <w:rPr>
          <w:rtl w:val="true"/>
        </w:rPr>
        <w:t xml:space="preserve">. </w:t>
      </w:r>
      <w:r>
        <w:rPr>
          <w:rtl w:val="true"/>
        </w:rPr>
        <w:t>שפי</w:t>
      </w:r>
      <w:r>
        <w:rPr>
          <w:rtl w:val="true"/>
        </w:rPr>
        <w:t xml:space="preserve">, </w:t>
      </w:r>
      <w:r>
        <w:rPr>
          <w:rtl w:val="true"/>
        </w:rPr>
        <w:t>הוצאת מגנס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18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1</w:t>
      </w:r>
      <w:r>
        <w:rPr>
          <w:rtl w:val="true"/>
        </w:rPr>
        <w:t xml:space="preserve">. </w:t>
      </w:r>
    </w:p>
  </w:footnote>
  <w:footnote w:id="4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20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10</w:t>
      </w:r>
      <w:r>
        <w:rPr>
          <w:rtl w:val="true"/>
        </w:rPr>
        <w:t>.</w:t>
      </w:r>
    </w:p>
  </w:footnote>
  <w:footnote w:id="5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20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15</w:t>
      </w:r>
      <w:r>
        <w:rPr>
          <w:rtl w:val="true"/>
        </w:rPr>
        <w:t>.</w:t>
      </w:r>
    </w:p>
  </w:footnote>
  <w:footnote w:id="6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20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6</w:t>
      </w:r>
    </w:p>
  </w:footnote>
  <w:footnote w:id="7">
    <w:p>
      <w:pPr>
        <w:pStyle w:val="Footnote"/>
        <w:bidi w:val="0"/>
        <w:rPr/>
      </w:pPr>
      <w:r>
        <w:rPr>
          <w:rStyle w:val="FootnoteCharacters"/>
        </w:rPr>
        <w:footnoteRef/>
      </w:r>
      <w:r>
        <w:rPr/>
        <w:tab/>
        <w:t>David Wong, “Relativism”, in Peter Singer (ed.) A Companion to Ethics (Blackwell, 1993), pp. 446</w:t>
      </w:r>
    </w:p>
  </w:footnote>
  <w:footnote w:id="8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מיל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התועלתיות</w:t>
      </w:r>
      <w:r>
        <w:rPr>
          <w:rtl w:val="true"/>
        </w:rPr>
        <w:t>, (</w:t>
      </w:r>
      <w:r>
        <w:rPr>
          <w:rtl w:val="true"/>
        </w:rPr>
        <w:t>תר</w:t>
      </w:r>
      <w:r>
        <w:rPr>
          <w:rtl w:val="true"/>
        </w:rPr>
        <w:t xml:space="preserve">' </w:t>
      </w:r>
      <w:r>
        <w:rPr>
          <w:rtl w:val="true"/>
        </w:rPr>
        <w:t>י</w:t>
      </w:r>
      <w:r>
        <w:rPr>
          <w:rtl w:val="true"/>
        </w:rPr>
        <w:t xml:space="preserve">. </w:t>
      </w:r>
      <w:r>
        <w:rPr>
          <w:rtl w:val="true"/>
        </w:rPr>
        <w:t>אור</w:t>
      </w:r>
      <w:r>
        <w:rPr>
          <w:rtl w:val="true"/>
        </w:rPr>
        <w:t xml:space="preserve">, </w:t>
      </w:r>
      <w:r>
        <w:rPr>
          <w:rtl w:val="true"/>
        </w:rPr>
        <w:t>הוצ</w:t>
      </w:r>
      <w:r>
        <w:rPr>
          <w:rtl w:val="true"/>
        </w:rPr>
        <w:t xml:space="preserve">' </w:t>
      </w:r>
      <w:r>
        <w:rPr>
          <w:rtl w:val="true"/>
        </w:rPr>
        <w:t>מאגנס</w:t>
      </w:r>
      <w:r>
        <w:rPr>
          <w:rtl w:val="true"/>
        </w:rPr>
        <w:t xml:space="preserve">), </w:t>
      </w:r>
      <w:r>
        <w:rPr>
          <w:rtl w:val="true"/>
        </w:rPr>
        <w:t>פרק ב</w:t>
      </w:r>
      <w:r>
        <w:rPr>
          <w:rtl w:val="true"/>
        </w:rPr>
        <w:t xml:space="preserve">', </w:t>
      </w:r>
      <w:r>
        <w:rPr>
          <w:rtl w:val="true"/>
        </w:rPr>
        <w:t xml:space="preserve">עמ’ </w:t>
      </w:r>
      <w:r>
        <w:rPr/>
        <w:t>16</w:t>
      </w:r>
      <w:r>
        <w:rPr>
          <w:rtl w:val="true"/>
        </w:rPr>
        <w:t xml:space="preserve">. </w:t>
      </w:r>
    </w:p>
  </w:footnote>
  <w:footnote w:id="9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>פרק ד’</w:t>
      </w:r>
      <w:r>
        <w:rPr>
          <w:rtl w:val="true"/>
        </w:rPr>
        <w:t xml:space="preserve">, </w:t>
      </w:r>
      <w:r>
        <w:rPr>
          <w:rtl w:val="true"/>
        </w:rPr>
        <w:t xml:space="preserve">עמ’ </w:t>
      </w:r>
      <w:r>
        <w:rPr/>
        <w:t>87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13</w:t>
      </w:r>
      <w:r>
        <w:rPr>
          <w:rtl w:val="true"/>
        </w:rPr>
        <w:t>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rPr>
        <w:b/>
        <w:bCs/>
      </w:rPr>
    </w:pPr>
    <w:r>
      <w:rPr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92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/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8">
    <w:name w:val="אקדמי"/>
    <w:basedOn w:val="Normal"/>
    <w:autoRedefine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b/>
      <w:bCs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701</TotalTime>
  <Application>LibreOffice/7.5.0.3$Linux_X86_64 LibreOffice_project/50$Build-3</Application>
  <AppVersion>15.0000</AppVersion>
  <Pages>3</Pages>
  <Words>1347</Words>
  <Characters>6265</Characters>
  <CharactersWithSpaces>7637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2023-02-18T17:21:00Z</dcterms:created>
  <dc:creator/>
  <dc:description/>
  <dc:language>en-US</dc:language>
  <cp:lastModifiedBy/>
  <dcterms:modified xsi:type="dcterms:W3CDTF">2023-03-02T16:37:50Z</dcterms:modified>
  <cp:revision>241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