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rPr/>
      </w:pPr>
      <w:r>
        <w:rPr>
          <w:rFonts w:eastAsia="Noto Serif CJK SC" w:cs="David Libre"/>
          <w:color w:val="auto"/>
          <w:kern w:val="2"/>
          <w:sz w:val="24"/>
          <w:szCs w:val="24"/>
          <w:u w:val="none"/>
          <w:lang w:val="en-US" w:eastAsia="zh-CN" w:bidi="he-IL"/>
        </w:rPr>
        <w:t>1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. </w:t>
      </w:r>
      <w:r>
        <w:rPr>
          <w:rFonts w:ascii="Times New Roman" w:hAnsi="Times New Roman" w:eastAsia="Noto Serif CJK SC"/>
          <w:b/>
          <w:b/>
          <w:bCs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>מהם סוגי הרצון החופשי לפי כותב המאמר</w:t>
      </w:r>
      <w:r>
        <w:rPr>
          <w:rFonts w:eastAsia="Noto Serif CJK SC" w:cs="David Libre"/>
          <w:b/>
          <w:bCs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?</w:t>
      </w:r>
    </w:p>
    <w:p>
      <w:pPr>
        <w:pStyle w:val="Philosophy"/>
        <w:rPr/>
      </w:pP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- </w:t>
      </w:r>
      <w:r>
        <w:rPr>
          <w:rFonts w:ascii="Times New Roman" w:hAnsi="Times New Roman" w:eastAsia="Noto Serif CJK SC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רצון חופשי 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(</w:t>
      </w:r>
      <w:r>
        <w:rPr>
          <w:rFonts w:ascii="Times New Roman" w:hAnsi="Times New Roman" w:eastAsia="Noto Serif CJK SC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מ’ 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lang w:val="en-US" w:eastAsia="zh-CN" w:bidi="he-IL"/>
        </w:rPr>
        <w:t>1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עמ’ 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lang w:val="en-US" w:eastAsia="zh-CN" w:bidi="he-IL"/>
        </w:rPr>
        <w:t>1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; </w:t>
      </w:r>
      <w:r>
        <w:rPr>
          <w:rFonts w:ascii="Times New Roman" w:hAnsi="Times New Roman" w:eastAsia="Noto Serif CJK SC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מ’ 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lang w:val="en-US" w:eastAsia="zh-CN" w:bidi="he-IL"/>
        </w:rPr>
        <w:t>2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 xml:space="preserve">, </w:t>
      </w:r>
      <w:r>
        <w:rPr>
          <w:rFonts w:ascii="Times New Roman" w:hAnsi="Times New Roman" w:eastAsia="Noto Serif CJK SC"/>
          <w:color w:val="auto"/>
          <w:kern w:val="2"/>
          <w:sz w:val="24"/>
          <w:sz w:val="24"/>
          <w:szCs w:val="24"/>
          <w:u w:val="none"/>
          <w:rtl w:val="true"/>
          <w:lang w:val="en-US" w:eastAsia="zh-CN" w:bidi="he-IL"/>
        </w:rPr>
        <w:t xml:space="preserve">עמ’ 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lang w:val="en-US" w:eastAsia="zh-CN" w:bidi="he-IL"/>
        </w:rPr>
        <w:t>37</w:t>
      </w:r>
      <w:r>
        <w:rPr>
          <w:rFonts w:eastAsia="Noto Serif CJK SC" w:cs="David Libre"/>
          <w:color w:val="auto"/>
          <w:kern w:val="2"/>
          <w:sz w:val="24"/>
          <w:szCs w:val="24"/>
          <w:u w:val="none"/>
          <w:rtl w:val="true"/>
          <w:lang w:val="en-US" w:eastAsia="zh-CN" w:bidi="he-IL"/>
        </w:rPr>
        <w:t>)</w:t>
      </w:r>
    </w:p>
    <w:p>
      <w:pPr>
        <w:pStyle w:val="Philosophy"/>
        <w:rPr/>
      </w:pPr>
      <w:r>
        <w:rPr>
          <w:rtl w:val="true"/>
        </w:rPr>
        <w:t xml:space="preserve">- </w:t>
      </w:r>
      <w:r>
        <w:rPr>
          <w:rtl w:val="true"/>
        </w:rPr>
        <w:t>דטרמיניזם</w:t>
      </w:r>
    </w:p>
    <w:p>
      <w:pPr>
        <w:pStyle w:val="Philosophy"/>
        <w:bidi w:val="0"/>
        <w:rPr/>
      </w:pPr>
      <w:r>
        <w:rPr/>
        <w:t xml:space="preserve">“ </w:t>
      </w:r>
      <w:r>
        <w:rPr/>
        <w:t>[…] a ”</w:t>
      </w:r>
      <w:r>
        <w:rPr>
          <w:b/>
          <w:bCs/>
        </w:rPr>
        <w:t>determinist</w:t>
      </w:r>
      <w:r>
        <w:rPr/>
        <w:t xml:space="preserve">” philospher is one who </w:t>
      </w:r>
      <w:r>
        <w:rPr>
          <w:b/>
          <w:bCs/>
        </w:rPr>
        <w:t>denies that people have genuinely free will: all our actions and choices are determined by causes</w:t>
      </w:r>
      <w:r>
        <w:rPr/>
        <w:t xml:space="preserve">. Non-determinists emphasize human freedom. A strong example was the French Exsistentialist philosopher Jean-Paule Sartre […] who held that we are radically free: we only </w:t>
      </w:r>
      <w:r>
        <w:rPr>
          <w:i/>
          <w:iCs/>
        </w:rPr>
        <w:t>let</w:t>
      </w:r>
      <w:r>
        <w:rPr>
          <w:i w:val="false"/>
          <w:iCs w:val="false"/>
        </w:rPr>
        <w:t xml:space="preserve"> ourselves  be determined by a variety of influences because we deny or overlook our radicall freedon [...]”</w:t>
      </w:r>
    </w:p>
    <w:p>
      <w:pPr>
        <w:pStyle w:val="Philosophy"/>
        <w:rPr/>
      </w:pPr>
      <w:r>
        <w:rPr>
          <w:rtl w:val="true"/>
        </w:rPr>
        <w:t xml:space="preserve">- </w:t>
      </w:r>
      <w:r>
        <w:rPr>
          <w:rtl w:val="true"/>
        </w:rPr>
        <w:t xml:space="preserve">רצון חופשי למחצה  </w:t>
      </w:r>
      <w:r>
        <w:rPr>
          <w:rtl w:val="true"/>
        </w:rPr>
        <w:t>(</w:t>
      </w:r>
      <w:r>
        <w:rPr>
          <w:rtl w:val="true"/>
        </w:rPr>
        <w:t xml:space="preserve">מ’ </w:t>
      </w:r>
      <w:r>
        <w:rPr/>
        <w:t>2</w:t>
      </w:r>
      <w:r>
        <w:rPr>
          <w:rtl w:val="true"/>
        </w:rPr>
        <w:t xml:space="preserve">, </w:t>
      </w:r>
      <w:r>
        <w:rPr>
          <w:rtl w:val="true"/>
        </w:rPr>
        <w:t xml:space="preserve">עמ’ </w:t>
      </w:r>
      <w:r>
        <w:rPr/>
        <w:t>38</w:t>
      </w:r>
      <w:r>
        <w:rPr>
          <w:rtl w:val="true"/>
        </w:rPr>
        <w:t>)</w:t>
      </w:r>
    </w:p>
    <w:p>
      <w:pPr>
        <w:pStyle w:val="Philosophy"/>
        <w:rPr/>
      </w:pPr>
      <w:r>
        <w:rPr>
          <w:rtl w:val="true"/>
        </w:rPr>
      </w:r>
    </w:p>
    <w:p>
      <w:pPr>
        <w:pStyle w:val="Philosophy"/>
        <w:bidi w:val="0"/>
        <w:rPr/>
      </w:pPr>
      <w:r>
        <w:rPr/>
        <w:t xml:space="preserve">“ </w:t>
      </w:r>
      <w:r>
        <w:rPr/>
        <w:t xml:space="preserve">[..] </w:t>
      </w:r>
      <w:r>
        <w:rPr>
          <w:b/>
          <w:bCs/>
        </w:rPr>
        <w:t>all human actions and choices have causes</w:t>
      </w:r>
      <w:r>
        <w:rPr/>
        <w:t xml:space="preserve"> – for them to be totally uninfluenced by anything would make them random events, not free – but </w:t>
      </w:r>
      <w:r>
        <w:rPr>
          <w:b/>
          <w:bCs/>
        </w:rPr>
        <w:t>as long as the causes include one’s desires and conscious rational deliberations, one is acting “freely”</w:t>
      </w:r>
      <w:r>
        <w:rPr/>
        <w:t>. However, when they are totally determined by causes outside one’s control, they are un-free.”</w:t>
      </w:r>
    </w:p>
    <w:p>
      <w:pPr>
        <w:pStyle w:val="Philosophy"/>
        <w:bidi w:val="0"/>
        <w:rPr/>
      </w:pPr>
      <w:r>
        <w:rPr/>
      </w:r>
    </w:p>
    <w:p>
      <w:pPr>
        <w:pStyle w:val="Philosophy"/>
        <w:bidi w:val="0"/>
        <w:rPr/>
      </w:pPr>
      <w:r>
        <w:rPr/>
        <w:t xml:space="preserve">“ </w:t>
      </w:r>
      <w:r>
        <w:rPr>
          <w:b/>
          <w:bCs/>
        </w:rPr>
        <w:t>Compatibilists</w:t>
      </w:r>
      <w:r>
        <w:rPr/>
        <w:t xml:space="preserve"> […] </w:t>
      </w:r>
      <w:r>
        <w:rPr>
          <w:b/>
          <w:bCs/>
        </w:rPr>
        <w:t>see freedom as the</w:t>
      </w:r>
      <w:r>
        <w:rPr/>
        <w:t xml:space="preserve"> […] </w:t>
      </w:r>
      <w:r>
        <w:rPr>
          <w:b/>
          <w:bCs/>
        </w:rPr>
        <w:t>abilty to execute action according to psychological dispositions</w:t>
      </w:r>
      <w:r>
        <w:rPr/>
        <w:t xml:space="preserve"> […] Dennett […] suggests that what makes us free is our ability to anticipate future events and then act in order to avoid undesired consequences.”</w:t>
      </w:r>
    </w:p>
    <w:p>
      <w:pPr>
        <w:pStyle w:val="Philosophy"/>
        <w:bidi w:val="0"/>
        <w:rPr/>
      </w:pPr>
      <w:r>
        <w:rPr/>
      </w:r>
    </w:p>
    <w:p>
      <w:pPr>
        <w:pStyle w:val="Philosophy"/>
        <w:bidi w:val="0"/>
        <w:rPr/>
      </w:pPr>
      <w:r>
        <w:rPr/>
      </w:r>
    </w:p>
    <w:p>
      <w:pPr>
        <w:pStyle w:val="Philosophy"/>
        <w:rPr/>
      </w:pPr>
      <w:r>
        <w:rPr/>
        <w:t>2</w:t>
      </w:r>
      <w:r>
        <w:rPr>
          <w:rtl w:val="true"/>
        </w:rPr>
        <w:t>.</w:t>
      </w:r>
      <w:r>
        <w:rPr>
          <w:b/>
          <w:bCs/>
          <w:rtl w:val="true"/>
        </w:rPr>
        <w:t xml:space="preserve"> </w:t>
      </w:r>
      <w:r>
        <w:rPr>
          <w:b/>
          <w:b/>
          <w:bCs/>
          <w:rtl w:val="true"/>
        </w:rPr>
        <w:t>מה יחסו של הבודהיזם לכל אחד מהסוגים הללו</w:t>
      </w:r>
      <w:r>
        <w:rPr>
          <w:b/>
          <w:bCs/>
          <w:rtl w:val="true"/>
        </w:rPr>
        <w:t>?</w:t>
      </w:r>
    </w:p>
    <w:p>
      <w:pPr>
        <w:pStyle w:val="Philosophy"/>
        <w:rPr>
          <w:b/>
          <w:bCs/>
        </w:rPr>
      </w:pPr>
      <w:r>
        <w:rPr>
          <w:rtl w:val="true"/>
        </w:rPr>
      </w:r>
    </w:p>
    <w:p>
      <w:pPr>
        <w:pStyle w:val="Philosophy"/>
        <w:bidi w:val="0"/>
        <w:rPr>
          <w:b w:val="false"/>
          <w:bCs w:val="false"/>
        </w:rPr>
      </w:pPr>
      <w:r>
        <w:rPr>
          <w:b w:val="false"/>
          <w:bCs w:val="false"/>
        </w:rPr>
        <w:t>“</w:t>
      </w:r>
      <w:r>
        <w:rPr>
          <w:b w:val="false"/>
          <w:bCs w:val="false"/>
        </w:rPr>
        <w:t xml:space="preserve">Buddhist texts certainly emphasize that people </w:t>
      </w:r>
      <w:r>
        <w:rPr>
          <w:b w:val="false"/>
          <w:bCs w:val="false"/>
          <w:i/>
          <w:iCs/>
        </w:rPr>
        <w:t>are</w:t>
      </w:r>
      <w:r>
        <w:rPr>
          <w:b w:val="false"/>
          <w:bCs w:val="false"/>
          <w:i w:val="false"/>
          <w:iCs w:val="false"/>
        </w:rPr>
        <w:t xml:space="preserve"> individually responsible for the actions thata they do [...] This […] need not imply that […] a paast action was done by a substantial, still exsistent Self – which Buddhism does not accept, but only that it was done by an earlier portion of the “continuity” of mental and physical processes  that the person now is […]” Text 2, p.40</w:t>
      </w:r>
    </w:p>
    <w:p>
      <w:pPr>
        <w:pStyle w:val="Philosophy"/>
        <w:rPr/>
      </w:pPr>
      <w:r>
        <w:rPr>
          <w:rtl w:val="true"/>
        </w:rPr>
      </w:r>
    </w:p>
    <w:p>
      <w:pPr>
        <w:pStyle w:val="Philosophy"/>
        <w:bidi w:val="0"/>
        <w:rPr/>
      </w:pPr>
      <w:r>
        <w:rPr/>
        <w:t>“</w:t>
      </w:r>
      <w:r>
        <w:rPr/>
        <w:t xml:space="preserve">[…] the Buddha opposed the fatalistic doctorine […] that people are not responsible for their actions as they are driven by the external force of </w:t>
      </w:r>
      <w:r>
        <w:rPr>
          <w:i/>
          <w:iCs/>
        </w:rPr>
        <w:t>niyati</w:t>
      </w:r>
      <w:r>
        <w:rPr>
          <w:i w:val="false"/>
          <w:iCs w:val="false"/>
        </w:rPr>
        <w:t>, or “destiny” […] The Buddha opposed determinisim as hew saw it aas a doctorine that froze a person’s will to overcome unwholeshome/unskillful actions and develop wholesome/skillful ones.”</w:t>
      </w:r>
    </w:p>
    <w:p>
      <w:pPr>
        <w:pStyle w:val="Philosophy"/>
        <w:rPr/>
      </w:pPr>
      <w:r>
        <w:rPr/>
        <w:t>2.1</w:t>
      </w:r>
      <w:r>
        <w:rPr>
          <w:rtl w:val="true"/>
        </w:rPr>
        <w:t xml:space="preserve"> </w:t>
      </w:r>
      <w:r>
        <w:rPr>
          <w:b/>
          <w:b/>
          <w:bCs/>
          <w:rtl w:val="true"/>
        </w:rPr>
        <w:t>על אילו טיעונים הוא מבסס זאת</w:t>
      </w:r>
      <w:r>
        <w:rPr>
          <w:b/>
          <w:bCs/>
          <w:rtl w:val="true"/>
        </w:rPr>
        <w:t>?</w:t>
      </w:r>
    </w:p>
    <w:p>
      <w:pPr>
        <w:pStyle w:val="Philosophy"/>
        <w:rPr>
          <w:b/>
          <w:bCs/>
        </w:rPr>
      </w:pPr>
      <w:r>
        <w:rPr>
          <w:rtl w:val="true"/>
        </w:rPr>
      </w:r>
    </w:p>
    <w:p>
      <w:pPr>
        <w:pStyle w:val="Philosophy"/>
        <w:rPr/>
      </w:pPr>
      <w:r>
        <w:rPr/>
        <w:t>3</w:t>
      </w:r>
      <w:r>
        <w:rPr>
          <w:rtl w:val="true"/>
        </w:rPr>
        <w:t xml:space="preserve">. </w:t>
      </w:r>
      <w:r>
        <w:rPr>
          <w:b/>
          <w:b/>
          <w:bCs/>
          <w:rtl w:val="true"/>
        </w:rPr>
        <w:t>מה מוסיף</w:t>
      </w:r>
      <w:r>
        <w:rPr>
          <w:b/>
          <w:bCs/>
          <w:rtl w:val="true"/>
        </w:rPr>
        <w:t>\</w:t>
      </w:r>
      <w:r>
        <w:rPr>
          <w:b/>
          <w:b/>
          <w:bCs/>
          <w:rtl w:val="true"/>
        </w:rPr>
        <w:t>מחדש המאמר על החומר שנלמד בכיתה</w:t>
      </w:r>
      <w:r>
        <w:rPr>
          <w:b/>
          <w:bCs/>
          <w:rtl w:val="true"/>
        </w:rPr>
        <w:t>?</w:t>
      </w:r>
    </w:p>
    <w:p>
      <w:pPr>
        <w:pStyle w:val="Philosophy"/>
        <w:rPr/>
      </w:pPr>
      <w:r>
        <w:rPr>
          <w:rtl w:val="true"/>
        </w:rPr>
      </w:r>
    </w:p>
    <w:p>
      <w:pPr>
        <w:pStyle w:val="Philosophy"/>
        <w:rPr/>
      </w:pPr>
      <w:r>
        <w:rPr>
          <w:rtl w:val="true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bidi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01"/>
    <w:family w:val="roman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iberation Serif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1"/>
      <w:spacing w:before="0" w:after="0"/>
      <w:jc w:val="left"/>
    </w:pPr>
    <w:rPr>
      <w:rFonts w:ascii="Liberation Serif" w:hAnsi="Liberation Serif" w:eastAsia="Noto Serif CJK SC" w:cs="Liberation Serif"/>
      <w:color w:val="auto"/>
      <w:kern w:val="2"/>
      <w:sz w:val="24"/>
      <w:szCs w:val="24"/>
      <w:lang w:val="en-US" w:eastAsia="zh-CN" w:bidi="he-IL"/>
    </w:rPr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Hebrew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iberation Serif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iberation Serif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iberation Serif"/>
    </w:rPr>
  </w:style>
  <w:style w:type="paragraph" w:styleId="Style14">
    <w:name w:val="אקדמי"/>
    <w:basedOn w:val="Normal"/>
    <w:qFormat/>
    <w:pPr>
      <w:tabs>
        <w:tab w:val="clear" w:pos="709"/>
      </w:tabs>
      <w:bidi w:val="1"/>
      <w:spacing w:lineRule="auto" w:line="480" w:before="0" w:after="0"/>
      <w:ind w:firstLine="58" w:left="0" w:right="0"/>
      <w:contextualSpacing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4"/>
    <w:qFormat/>
    <w:pPr>
      <w:bidi w:val="1"/>
      <w:spacing w:lineRule="auto" w:line="360"/>
      <w:jc w:val="both"/>
    </w:pPr>
    <w:rPr>
      <w:rFonts w:cs="David CLM"/>
      <w:bCs w:val="false"/>
    </w:rPr>
  </w:style>
  <w:style w:type="paragraph" w:styleId="FootnoteText">
    <w:name w:val="Footnote Text"/>
    <w:basedOn w:val="Normal"/>
    <w:pPr>
      <w:suppressLineNumbers/>
      <w:ind w:hanging="340" w:left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1036</TotalTime>
  <Application>LibreOffice/24.2.1.2$Linux_X86_64 LibreOffice_project/420$Build-2</Application>
  <AppVersion>15.0000</AppVersion>
  <Pages>2</Pages>
  <Words>334</Words>
  <Characters>1668</Characters>
  <CharactersWithSpaces>1996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2024-02-03T13:06:37Z</dcterms:created>
  <dc:creator/>
  <dc:description/>
  <dc:language>he-IL</dc:language>
  <cp:lastModifiedBy/>
  <dcterms:modified xsi:type="dcterms:W3CDTF">2024-03-22T18:30:39Z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