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/>
      </w:pPr>
      <w:r>
        <w:rPr>
          <w:rtl w:val="true"/>
        </w:rPr>
        <w:t>ב</w:t>
      </w:r>
      <w:r>
        <w:rPr>
          <w:i/>
          <w:i/>
          <w:iCs/>
          <w:rtl w:val="true"/>
        </w:rPr>
        <w:t>מונדולוגיה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מנסה לייבניץ להשיב על השאלה – מדוע </w:t>
      </w:r>
      <w:r>
        <w:rPr>
          <w:i w:val="false"/>
          <w:i w:val="false"/>
          <w:iCs w:val="false"/>
          <w:rtl w:val="true"/>
        </w:rPr>
        <w:t>ברא</w:t>
      </w:r>
      <w:r>
        <w:rPr>
          <w:i w:val="false"/>
          <w:i w:val="false"/>
          <w:iCs w:val="false"/>
          <w:rtl w:val="true"/>
        </w:rPr>
        <w:t xml:space="preserve"> האל  דווקא את עולמנו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מבין אינסוף אפשרויות</w:t>
      </w:r>
      <w:r>
        <w:rPr>
          <w:i w:val="false"/>
          <w:iCs w:val="false"/>
          <w:rtl w:val="true"/>
        </w:rPr>
        <w:t>?</w:t>
      </w:r>
      <w:r>
        <w:rPr>
          <w:rStyle w:val="FootnoteReference"/>
          <w:i w:val="false"/>
          <w:iCs w:val="false"/>
          <w:rtl w:val="true"/>
        </w:rPr>
        <w:footnoteReference w:id="2"/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תשובתו של לייבניץ כפי שאני מבין אותה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היא שאין אינסוף אפשרויות – אלא רק אפשרות אחת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זו שמכילה בתוכה את החיוב הרב ביותר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שסיבתה היא העצם בעל המציאות הרבה ביותר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כל רעיון של אפשרות אחרות נובע מהתפיסה המוגבלת שלנו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מן המציאות כפי שהיא באמת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בבחירתו איזה מן סוג של עולם לברוא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נדרש האל לאמת</w:t>
      </w:r>
      <w:r>
        <w:rPr>
          <w:i w:val="false"/>
          <w:iCs w:val="false"/>
          <w:rtl w:val="true"/>
        </w:rPr>
        <w:t>-</w:t>
      </w:r>
      <w:r>
        <w:rPr>
          <w:i w:val="false"/>
          <w:i w:val="false"/>
          <w:iCs w:val="false"/>
          <w:rtl w:val="true"/>
        </w:rPr>
        <w:t>מידה מסוימת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לסיבה מספקת לברוא עולם כזה ולא עולם אחר</w:t>
      </w:r>
      <w:r>
        <w:rPr>
          <w:rStyle w:val="FootnoteReference"/>
          <w:i w:val="false"/>
          <w:i w:val="false"/>
          <w:iCs w:val="false"/>
          <w:rtl w:val="true"/>
        </w:rPr>
        <w:footnoteReference w:id="3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לייבניץ מזהה סיבה זו בתור </w:t>
      </w:r>
      <w:r>
        <w:rPr>
          <w:i/>
          <w:i/>
          <w:iCs/>
          <w:rtl w:val="true"/>
        </w:rPr>
        <w:t>מידת השלמות</w:t>
      </w:r>
      <w:r>
        <w:rPr>
          <w:i w:val="false"/>
          <w:i w:val="false"/>
          <w:iCs w:val="false"/>
          <w:rtl w:val="true"/>
        </w:rPr>
        <w:t xml:space="preserve"> שאותו העולם מכיל</w:t>
      </w:r>
      <w:r>
        <w:rPr>
          <w:rStyle w:val="FootnoteReference"/>
          <w:i w:val="false"/>
          <w:i w:val="false"/>
          <w:iCs w:val="false"/>
          <w:rtl w:val="true"/>
        </w:rPr>
        <w:footnoteReference w:id="4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אך מהי בכלל אותה </w:t>
      </w:r>
      <w:r>
        <w:rPr>
          <w:i/>
          <w:i/>
          <w:iCs/>
          <w:rtl w:val="true"/>
        </w:rPr>
        <w:t>שלמות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 xml:space="preserve">כיצד ייתכן שישנה </w:t>
      </w:r>
      <w:r>
        <w:rPr>
          <w:i/>
          <w:i/>
          <w:iCs/>
          <w:rtl w:val="true"/>
        </w:rPr>
        <w:t>מידה</w:t>
      </w:r>
      <w:r>
        <w:rPr>
          <w:i w:val="false"/>
          <w:i w:val="false"/>
          <w:iCs w:val="false"/>
          <w:rtl w:val="true"/>
        </w:rPr>
        <w:t xml:space="preserve"> של אותה השלמות</w:t>
      </w:r>
      <w:r>
        <w:rPr>
          <w:i w:val="false"/>
          <w:iCs w:val="false"/>
          <w:rtl w:val="true"/>
        </w:rPr>
        <w:t>?</w:t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/>
      </w:pPr>
      <w:r>
        <w:rPr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בכדי להסביר את כל האמיתות הקונטנגנטיות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קובע לייבניץ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אנו זקוקים ל</w:t>
      </w:r>
      <w:r>
        <w:rPr>
          <w:i/>
          <w:i/>
          <w:iCs/>
          <w:rtl w:val="true"/>
        </w:rPr>
        <w:t>סיבה מספקת</w:t>
      </w:r>
      <w:r>
        <w:rPr>
          <w:i w:val="false"/>
          <w:i w:val="false"/>
          <w:iCs w:val="false"/>
          <w:rtl w:val="true"/>
        </w:rPr>
        <w:t xml:space="preserve"> – כזו שניצבת בראש השרשרת הסיבתית</w:t>
      </w:r>
      <w:r>
        <w:rPr>
          <w:rStyle w:val="FootnoteReference"/>
          <w:i w:val="false"/>
          <w:i w:val="false"/>
          <w:iCs w:val="false"/>
          <w:rtl w:val="true"/>
        </w:rPr>
        <w:footnoteReference w:id="5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אותה סיבה קיימת בהכרח – שכן כל אמת קונטינטית תלויה באמת קונטינטית אחרת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וחייבת להכיל בתוכה</w:t>
      </w:r>
      <w:r>
        <w:rPr>
          <w:i/>
          <w:i/>
          <w:iCs/>
          <w:rtl w:val="true"/>
        </w:rPr>
        <w:t xml:space="preserve"> מציאות רבה ככל האפשר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שכן ממנה אנו נגזור את המציאות כולה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אותה סיבה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אומר לייבניץ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היא 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 xml:space="preserve">מה שאנו קוראים </w:t>
      </w:r>
      <w:r>
        <w:rPr>
          <w:b/>
          <w:b/>
          <w:bCs/>
          <w:i w:val="false"/>
          <w:i w:val="false"/>
          <w:iCs w:val="false"/>
          <w:rtl w:val="true"/>
        </w:rPr>
        <w:t>אל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rStyle w:val="FootnoteReference"/>
          <w:b w:val="false"/>
          <w:bCs w:val="false"/>
          <w:i w:val="false"/>
          <w:iCs w:val="false"/>
          <w:rtl w:val="true"/>
        </w:rPr>
        <w:footnoteReference w:id="6"/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בהמשך קו המחשבה הזה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קובע לייבניץ כי 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b/>
          <w:b/>
          <w:bCs/>
          <w:i w:val="false"/>
          <w:i w:val="false"/>
          <w:iCs w:val="false"/>
          <w:rtl w:val="true"/>
        </w:rPr>
        <w:t xml:space="preserve">השלמות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אינה אלא הגודל של הממשות החיובית במובנה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המדויק בהפשטה מן המגבלות או הגבולות שבדברים שיש להם גבולות אלה”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7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משמע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הסיבה בעלת החיוב הרב ביותר מכוננת את העולם בעל החיוב הרב ביותר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האם עולמנו הוא כזה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כמדומני שלייבניץ סבור שכן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את המונדות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אמת המידה הבסיסית ביותר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מתאר לייבניץ כ</w:t>
      </w:r>
      <w:r>
        <w:rPr>
          <w:b w:val="false"/>
          <w:b w:val="false"/>
          <w:bCs w:val="false"/>
          <w:i/>
          <w:i/>
          <w:iCs/>
          <w:rtl w:val="true"/>
        </w:rPr>
        <w:t>ראי חי ומתמיד של היקום כולו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הנשקף מן היחסים ביניהן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8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כל תפיסה של </w:t>
      </w:r>
      <w:r>
        <w:rPr>
          <w:b w:val="false"/>
          <w:b w:val="false"/>
          <w:bCs w:val="false"/>
          <w:i/>
          <w:i/>
          <w:iCs/>
          <w:rtl w:val="true"/>
        </w:rPr>
        <w:t>מידות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שלמות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אינה נובעת מחסך כזה או אחר במונדות עצמן – אלא רק מהתפיסה המבולבלת של המונדות עצמן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ושלנו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אין להן גבול זולת מגבלות התפיסה שלהן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9"/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both"/>
        <w:rPr>
          <w:b w:val="false"/>
          <w:b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widowControl/>
        <w:suppressAutoHyphens w:val="true"/>
        <w:bidi w:val="1"/>
        <w:spacing w:lineRule="auto" w:line="360" w:before="0" w:after="0"/>
        <w:ind w:hanging="0" w:left="0" w:right="0"/>
        <w:contextualSpacing/>
        <w:jc w:val="center"/>
        <w:rPr>
          <w:b/>
          <w:bCs/>
          <w:i w:val="false"/>
          <w:i w:val="false"/>
          <w:iCs w:val="false"/>
          <w:u w:val="single"/>
        </w:rPr>
      </w:pPr>
      <w:r>
        <w:rPr>
          <w:b/>
          <w:b/>
          <w:bCs/>
          <w:i w:val="false"/>
          <w:i w:val="false"/>
          <w:iCs w:val="false"/>
          <w:u w:val="single"/>
          <w:rtl w:val="true"/>
        </w:rPr>
        <w:t>ביבליוגרפיה</w:t>
      </w:r>
    </w:p>
    <w:p>
      <w:pPr>
        <w:pStyle w:val="FootnoteText"/>
        <w:bidi w:val="1"/>
        <w:spacing w:lineRule="auto" w:line="360"/>
        <w:jc w:val="center"/>
        <w:rPr>
          <w:rFonts w:cs="David Libre"/>
          <w:sz w:val="24"/>
          <w:szCs w:val="24"/>
        </w:rPr>
      </w:pPr>
      <w:r>
        <w:rPr>
          <w:rFonts w:cs="David Libre"/>
          <w:sz w:val="24"/>
          <w:sz w:val="24"/>
          <w:szCs w:val="24"/>
          <w:rtl w:val="true"/>
        </w:rPr>
        <w:t>לייבניץ</w:t>
      </w:r>
      <w:r>
        <w:rPr>
          <w:rFonts w:cs="David Libre"/>
          <w:sz w:val="24"/>
          <w:szCs w:val="24"/>
          <w:rtl w:val="true"/>
        </w:rPr>
        <w:t xml:space="preserve">, </w:t>
      </w:r>
      <w:r>
        <w:rPr>
          <w:rFonts w:cs="David Libre"/>
          <w:sz w:val="24"/>
          <w:sz w:val="24"/>
          <w:szCs w:val="24"/>
          <w:rtl w:val="true"/>
        </w:rPr>
        <w:t>גוטפריד וילהלם</w:t>
      </w:r>
      <w:r>
        <w:rPr>
          <w:rFonts w:cs="David Libre"/>
          <w:sz w:val="24"/>
          <w:szCs w:val="24"/>
          <w:rtl w:val="true"/>
        </w:rPr>
        <w:t xml:space="preserve">. </w:t>
      </w:r>
      <w:r>
        <w:rPr>
          <w:rFonts w:cs="David Libre"/>
          <w:sz w:val="24"/>
          <w:sz w:val="24"/>
          <w:szCs w:val="24"/>
          <w:rtl w:val="true"/>
        </w:rPr>
        <w:t>מאמר מטאפי</w:t>
      </w:r>
      <w:r>
        <w:rPr>
          <w:rFonts w:cs="David Libre"/>
          <w:sz w:val="24"/>
          <w:sz w:val="24"/>
          <w:szCs w:val="24"/>
          <w:rtl w:val="true"/>
        </w:rPr>
        <w:t>ז</w:t>
      </w:r>
      <w:r>
        <w:rPr>
          <w:rFonts w:cs="David Libre"/>
          <w:sz w:val="24"/>
          <w:sz w:val="24"/>
          <w:szCs w:val="24"/>
          <w:rtl w:val="true"/>
        </w:rPr>
        <w:t>י</w:t>
      </w:r>
      <w:r>
        <w:rPr>
          <w:rFonts w:cs="David Libre"/>
          <w:sz w:val="24"/>
          <w:szCs w:val="24"/>
          <w:rtl w:val="true"/>
        </w:rPr>
        <w:t xml:space="preserve">: </w:t>
      </w:r>
      <w:r>
        <w:rPr>
          <w:rFonts w:cs="David Libre"/>
          <w:sz w:val="24"/>
          <w:sz w:val="24"/>
          <w:szCs w:val="24"/>
          <w:rtl w:val="true"/>
        </w:rPr>
        <w:t>התכתבות עם ארנו</w:t>
      </w:r>
      <w:r>
        <w:rPr>
          <w:rFonts w:cs="David Libre"/>
          <w:sz w:val="24"/>
          <w:szCs w:val="24"/>
          <w:rtl w:val="true"/>
        </w:rPr>
        <w:t>.</w:t>
      </w:r>
      <w:r>
        <w:rPr>
          <w:rFonts w:cs="David Libre"/>
          <w:sz w:val="24"/>
          <w:sz w:val="24"/>
          <w:szCs w:val="24"/>
          <w:rtl w:val="true"/>
        </w:rPr>
        <w:t>תרגם אלחנן יקירה</w:t>
      </w:r>
      <w:r>
        <w:rPr>
          <w:rFonts w:cs="David Libre"/>
          <w:sz w:val="24"/>
          <w:szCs w:val="24"/>
          <w:rtl w:val="true"/>
        </w:rPr>
        <w:t xml:space="preserve">. </w:t>
      </w:r>
      <w:r>
        <w:rPr>
          <w:rFonts w:cs="David Libre"/>
          <w:sz w:val="24"/>
          <w:sz w:val="24"/>
          <w:szCs w:val="24"/>
          <w:rtl w:val="true"/>
        </w:rPr>
        <w:t>ירושלים</w:t>
      </w:r>
      <w:r>
        <w:rPr>
          <w:rFonts w:cs="David Libre"/>
          <w:sz w:val="24"/>
          <w:szCs w:val="24"/>
          <w:rtl w:val="true"/>
        </w:rPr>
        <w:t xml:space="preserve">: </w:t>
      </w:r>
      <w:r>
        <w:rPr>
          <w:rFonts w:cs="David Libre"/>
          <w:sz w:val="24"/>
          <w:sz w:val="24"/>
          <w:szCs w:val="24"/>
          <w:rtl w:val="true"/>
        </w:rPr>
        <w:t>מפעלים אוניברסיטאיים</w:t>
      </w:r>
      <w:r>
        <w:rPr>
          <w:rFonts w:cs="David Libre"/>
          <w:sz w:val="24"/>
          <w:szCs w:val="24"/>
          <w:rtl w:val="true"/>
        </w:rPr>
        <w:t xml:space="preserve">, </w:t>
      </w:r>
      <w:r>
        <w:rPr>
          <w:rFonts w:cs="David Libre"/>
          <w:sz w:val="24"/>
          <w:szCs w:val="24"/>
        </w:rPr>
        <w:t>1988</w:t>
      </w:r>
    </w:p>
    <w:p>
      <w:pPr>
        <w:pStyle w:val="FootnoteText"/>
        <w:bidi w:val="0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Leibniz, Gottfried Wilhelm.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The Monadology</w:t>
      </w:r>
      <w:r>
        <w:rPr>
          <w:rFonts w:ascii="Times New Roman" w:hAnsi="Times New Roman"/>
          <w:i w:val="false"/>
          <w:iCs w:val="false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Discourse on Metaphysics and Other Essays. Trans. Daniel Garber and Roger Ariew Indianapolis: Hackett Publishing Company, 1991</w:t>
      </w:r>
    </w:p>
    <w:sectPr>
      <w:headerReference w:type="default" r:id="rId2"/>
      <w:footnotePr>
        <w:numFmt w:val="decimal"/>
      </w:footnotePr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Gottfried Wilhelm Leibniz. </w:t>
      </w:r>
      <w:r>
        <w:rPr>
          <w:i/>
          <w:iCs/>
        </w:rPr>
        <w:t>The Monadology.</w:t>
      </w:r>
      <w:r>
        <w:rPr>
          <w:i w:val="false"/>
          <w:iCs w:val="false"/>
        </w:rPr>
        <w:t xml:space="preserve"> In: </w:t>
      </w:r>
      <w:r>
        <w:rPr/>
        <w:t>Discourse on Metaphysics and Other Essays. Trans. Daniel Garber and Roger Ariew (Indianapolis: Hackett Publishing Company, 1991). p. 220, para. 53</w:t>
      </w:r>
    </w:p>
  </w:footnote>
  <w:footnote w:id="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</w:t>
      </w:r>
    </w:p>
  </w:footnote>
  <w:footnote w:id="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Ibid, para. 54</w:t>
      </w:r>
    </w:p>
  </w:footnote>
  <w:footnote w:id="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Ibid, pp. 217-218, para. 37</w:t>
      </w:r>
    </w:p>
  </w:footnote>
  <w:footnote w:id="6">
    <w:p>
      <w:pPr>
        <w:pStyle w:val="FootnoteText"/>
        <w:bidi w:val="1"/>
        <w:rPr/>
      </w:pPr>
      <w:r>
        <w:rPr>
          <w:rStyle w:val="FootnoteCharacters"/>
        </w:rPr>
        <w:footnoteRef/>
      </w:r>
      <w:r>
        <w:rPr>
          <w:rtl w:val="true"/>
        </w:rPr>
        <w:tab/>
        <w:t xml:space="preserve"> </w:t>
      </w:r>
      <w:r>
        <w:rPr>
          <w:rtl w:val="true"/>
        </w:rPr>
        <w:t xml:space="preserve">גוטפריד וילהלם </w:t>
      </w:r>
      <w:r>
        <w:rPr>
          <w:rtl w:val="true"/>
        </w:rPr>
        <w:t>לייבניץ</w:t>
      </w:r>
      <w:r>
        <w:rPr>
          <w:rtl w:val="true"/>
        </w:rPr>
        <w:t>.</w:t>
      </w:r>
      <w:r>
        <w:rPr>
          <w:i/>
          <w:iCs/>
          <w:rtl w:val="true"/>
        </w:rPr>
        <w:t xml:space="preserve"> </w:t>
      </w:r>
      <w:r>
        <w:rPr>
          <w:i/>
          <w:i/>
          <w:iCs/>
          <w:rtl w:val="true"/>
        </w:rPr>
        <w:t>מאמר מטאפי</w:t>
      </w:r>
      <w:r>
        <w:rPr>
          <w:i/>
          <w:i/>
          <w:iCs/>
          <w:rtl w:val="true"/>
        </w:rPr>
        <w:t>זי</w:t>
      </w:r>
      <w:r>
        <w:rPr>
          <w:i/>
          <w:iCs/>
          <w:rtl w:val="true"/>
        </w:rPr>
        <w:t xml:space="preserve">: </w:t>
      </w:r>
      <w:r>
        <w:rPr>
          <w:i/>
          <w:i/>
          <w:iCs/>
          <w:rtl w:val="true"/>
        </w:rPr>
        <w:t>התכתבות עם ארנו</w:t>
      </w:r>
      <w:r>
        <w:rPr>
          <w:i/>
          <w:iCs/>
          <w:rtl w:val="true"/>
        </w:rPr>
        <w:t xml:space="preserve">. </w:t>
      </w:r>
      <w:r>
        <w:rPr>
          <w:rtl w:val="true"/>
        </w:rPr>
        <w:t xml:space="preserve">תרגם אלחנן יקירה </w:t>
      </w:r>
      <w:r>
        <w:rPr>
          <w:rtl w:val="true"/>
        </w:rPr>
        <w:t>(</w:t>
      </w:r>
      <w:r>
        <w:rPr>
          <w:rtl w:val="true"/>
        </w:rPr>
        <w:t>ירושלים</w:t>
      </w:r>
      <w:r>
        <w:rPr>
          <w:rtl w:val="true"/>
        </w:rPr>
        <w:t xml:space="preserve">: </w:t>
      </w:r>
      <w:r>
        <w:rPr>
          <w:rtl w:val="true"/>
        </w:rPr>
        <w:t>מפעלים אוניברסיטאיים</w:t>
      </w:r>
      <w:r>
        <w:rPr>
          <w:rtl w:val="true"/>
        </w:rPr>
        <w:t xml:space="preserve">, </w:t>
      </w:r>
      <w:r>
        <w:rPr/>
        <w:t>1988</w:t>
      </w:r>
      <w:r>
        <w:rPr>
          <w:rtl w:val="true"/>
        </w:rPr>
        <w:t xml:space="preserve">). </w:t>
      </w:r>
      <w:r>
        <w:rPr>
          <w:rtl w:val="true"/>
        </w:rPr>
        <w:t xml:space="preserve">עמ’ </w:t>
      </w:r>
      <w:r>
        <w:rPr/>
        <w:t>61</w:t>
      </w:r>
      <w:r>
        <w:rPr>
          <w:rtl w:val="true"/>
        </w:rPr>
        <w:t xml:space="preserve">, </w:t>
      </w:r>
      <w:r>
        <w:rPr>
          <w:rtl w:val="true"/>
        </w:rPr>
        <w:t>מש’ לח</w:t>
      </w:r>
      <w:r>
        <w:rPr>
          <w:rtl w:val="true"/>
        </w:rPr>
        <w:t>.</w:t>
      </w:r>
    </w:p>
  </w:footnote>
  <w:footnote w:id="7">
    <w:p>
      <w:pPr>
        <w:pStyle w:val="FootnoteText"/>
        <w:rPr/>
      </w:pPr>
      <w:r>
        <w:rPr>
          <w:rStyle w:val="FootnoteCharacters"/>
        </w:rPr>
        <w:footnoteRef/>
      </w:r>
      <w:r>
        <w:rPr>
          <w:rtl w:val="true"/>
        </w:rPr>
        <w:tab/>
        <w:t xml:space="preserve"> </w:t>
      </w:r>
      <w:r>
        <w:rPr>
          <w:rtl w:val="true"/>
        </w:rPr>
        <w:t>שם</w:t>
      </w:r>
      <w:r>
        <w:rPr>
          <w:rtl w:val="true"/>
        </w:rPr>
        <w:t xml:space="preserve">, </w:t>
      </w:r>
      <w:r>
        <w:rPr>
          <w:rtl w:val="true"/>
        </w:rPr>
        <w:t>מש’ מא</w:t>
      </w:r>
      <w:r>
        <w:rPr>
          <w:rtl w:val="true"/>
        </w:rPr>
        <w:t>.</w:t>
      </w:r>
    </w:p>
  </w:footnote>
  <w:footnote w:id="8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 xml:space="preserve">Daniel Garber and Roger Ariew , </w:t>
      </w:r>
      <w:r>
        <w:rPr/>
        <w:t xml:space="preserve">Discourse on Metaphysics and Other Essays (1991). p. 220, para. </w:t>
      </w:r>
      <w:r>
        <w:rPr/>
        <w:t>56</w:t>
      </w:r>
    </w:p>
  </w:footnote>
  <w:footnote w:id="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220-2210, para. 60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8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1066</TotalTime>
  <Application>LibreOffice/24.2.1.2$Linux_X86_64 LibreOffice_project/420$Build-2</Application>
  <AppVersion>15.0000</AppVersion>
  <Pages>2</Pages>
  <Words>366</Words>
  <Characters>1854</Characters>
  <CharactersWithSpaces>2220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2024-03-08T17:48:44Z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