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rPr/>
      </w:pPr>
      <w:r>
        <w:rPr>
          <w:rtl w:val="true"/>
        </w:rPr>
        <w:t>בראשון מה</w:t>
      </w:r>
      <w:r>
        <w:rPr>
          <w:i/>
          <w:i/>
          <w:iCs/>
          <w:rtl w:val="true"/>
        </w:rPr>
        <w:t>הגיונות על הפילוסופיה הראשונית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הפילוסוף רנה דקארט מטיל ספק בטבע המציאות כפי שתופס אותה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את הספק מצדיק דקארט בטיעון הנשען על טוב האלוהים – אשר מסקנתו היא שהאל הטוב אינו יאפשר לו להטיל ספק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דקארט סותר מסקנה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ובכך מצדיק ספקנות כה קיצונית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ind w:left="0" w:right="0" w:hanging="0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bidi w:val="1"/>
        <w:ind w:left="0" w:right="0" w:hanging="0"/>
        <w:rPr/>
      </w:pPr>
      <w:r>
        <w:rPr>
          <w:i w:val="false"/>
          <w:i w:val="false"/>
          <w:iCs w:val="false"/>
          <w:rtl w:val="true"/>
        </w:rPr>
        <w:t>נחוש להשיל מעליו את כל אמונותיו השקריות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דקארט מטיל ספק בשיטתיות בכל אמונה שאין בכוחו לאמת ללא עוררין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תחילה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מטיל ספק בחוויותיו החושיות</w:t>
      </w:r>
      <w:r>
        <w:rPr>
          <w:rStyle w:val="FootnoteAnchor"/>
          <w:i w:val="false"/>
          <w:i w:val="false"/>
          <w:iCs w:val="false"/>
          <w:rtl w:val="true"/>
        </w:rPr>
        <w:footnoteReference w:id="2"/>
      </w:r>
      <w:r>
        <w:rPr>
          <w:i w:val="false"/>
          <w:i w:val="false"/>
          <w:iCs w:val="false"/>
          <w:rtl w:val="true"/>
        </w:rPr>
        <w:t xml:space="preserve"> – מקור כל האמנותיו</w:t>
      </w:r>
      <w:r>
        <w:rPr>
          <w:rStyle w:val="FootnoteAnchor"/>
          <w:i w:val="false"/>
          <w:i w:val="false"/>
          <w:iCs w:val="false"/>
          <w:rtl w:val="true"/>
        </w:rPr>
        <w:footnoteReference w:id="3"/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בהמשך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מטיל ספק בעצם קיומן של החוויות הללו</w:t>
      </w:r>
      <w:r>
        <w:rPr>
          <w:rStyle w:val="FootnoteAnchor"/>
          <w:i w:val="false"/>
          <w:i w:val="false"/>
          <w:iCs w:val="false"/>
          <w:rtl w:val="true"/>
        </w:rPr>
        <w:footnoteReference w:id="4"/>
      </w:r>
      <w:r>
        <w:rPr>
          <w:i w:val="false"/>
          <w:iCs w:val="false"/>
          <w:rtl w:val="true"/>
        </w:rPr>
        <w:t xml:space="preserve">; </w:t>
      </w:r>
      <w:r>
        <w:rPr>
          <w:i w:val="false"/>
          <w:i w:val="false"/>
          <w:iCs w:val="false"/>
          <w:rtl w:val="true"/>
        </w:rPr>
        <w:t>ולבסוף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מכביר להטיל ספק אף בצלם האנוש שלו</w:t>
      </w:r>
      <w:r>
        <w:rPr>
          <w:rStyle w:val="FootnoteAnchor"/>
          <w:i w:val="false"/>
          <w:i w:val="false"/>
          <w:iCs w:val="false"/>
          <w:rtl w:val="true"/>
        </w:rPr>
        <w:footnoteReference w:id="5"/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בקיומם של החושים בכלל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אולם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אין די בכך להטיל ספק באמיתות אשר אינן כרוכות בחושים – במתמטיקה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בגיאומטריה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בהתפשטותם של גופים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בשמים ובארץ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בגדלים ובמקומות</w:t>
      </w:r>
      <w:r>
        <w:rPr>
          <w:rStyle w:val="FootnoteAnchor"/>
          <w:i w:val="false"/>
          <w:i w:val="false"/>
          <w:iCs w:val="false"/>
          <w:rtl w:val="true"/>
        </w:rPr>
        <w:footnoteReference w:id="6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האמנם</w:t>
      </w:r>
      <w:r>
        <w:rPr>
          <w:i w:val="false"/>
          <w:iCs w:val="false"/>
          <w:rtl w:val="true"/>
        </w:rPr>
        <w:t>?</w:t>
      </w:r>
    </w:p>
    <w:p>
      <w:pPr>
        <w:pStyle w:val="Philosophy"/>
        <w:bidi w:val="1"/>
        <w:rPr/>
      </w:pPr>
      <w:r>
        <w:rPr>
          <w:rtl w:val="true"/>
        </w:rPr>
      </w:r>
    </w:p>
    <w:p>
      <w:pPr>
        <w:pStyle w:val="Philosophy"/>
        <w:bidi w:val="1"/>
        <w:ind w:left="0" w:right="0" w:hanging="0"/>
        <w:rPr/>
      </w:pPr>
      <w:r>
        <w:rPr>
          <w:i w:val="false"/>
          <w:i w:val="false"/>
          <w:iCs w:val="false"/>
          <w:sz w:val="24"/>
          <w:sz w:val="24"/>
          <w:szCs w:val="24"/>
          <w:rtl w:val="true"/>
        </w:rPr>
        <w:t>בכדי להצדיק את ספקנותו כלפי האמיתות הללו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פונה דקארט אל האלוהות</w:t>
      </w:r>
      <w:r>
        <w:rPr>
          <w:i w:val="false"/>
          <w:iCs w:val="false"/>
          <w:sz w:val="24"/>
          <w:szCs w:val="24"/>
          <w:rtl w:val="true"/>
        </w:rPr>
        <w:t xml:space="preserve">.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תחילה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מגדיר דקארט את האל כטוב – “שהרי אומרים עליו שהוא טוב באופן נעלה מכל</w:t>
      </w:r>
      <w:r>
        <w:rPr>
          <w:i w:val="false"/>
          <w:iCs w:val="false"/>
          <w:sz w:val="24"/>
          <w:szCs w:val="24"/>
          <w:rtl w:val="true"/>
        </w:rPr>
        <w:t>"</w:t>
      </w:r>
      <w:r>
        <w:rPr>
          <w:rStyle w:val="FootnoteAnchor"/>
          <w:i w:val="false"/>
          <w:iCs w:val="false"/>
          <w:sz w:val="24"/>
          <w:szCs w:val="24"/>
          <w:rtl w:val="true"/>
        </w:rPr>
        <w:footnoteReference w:id="7"/>
      </w:r>
      <w:r>
        <w:rPr>
          <w:i w:val="false"/>
          <w:iCs w:val="false"/>
          <w:sz w:val="24"/>
          <w:szCs w:val="24"/>
          <w:rtl w:val="true"/>
        </w:rPr>
        <w:t xml:space="preserve">.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על בסיס הנחה זו טוען כי האל אינו יאפשר לדקארט קיום שכזה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בו הוא שוגה בכל אמונותיו</w:t>
      </w:r>
      <w:r>
        <w:rPr>
          <w:i w:val="false"/>
          <w:iCs w:val="false"/>
          <w:sz w:val="24"/>
          <w:szCs w:val="24"/>
          <w:rtl w:val="true"/>
        </w:rPr>
        <w:t xml:space="preserve">;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והרי אם אינו ישלה את דקארט במציאות כולה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ודאי לא היה מאפשר לו לטעות גם במידת</w:t>
      </w:r>
      <w:r>
        <w:rPr>
          <w:i w:val="false"/>
          <w:iCs w:val="false"/>
          <w:sz w:val="24"/>
          <w:szCs w:val="24"/>
          <w:rtl w:val="true"/>
        </w:rPr>
        <w:t>-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מה</w:t>
      </w:r>
      <w:r>
        <w:rPr>
          <w:i w:val="false"/>
          <w:iCs w:val="false"/>
          <w:sz w:val="24"/>
          <w:szCs w:val="24"/>
          <w:rtl w:val="true"/>
        </w:rPr>
        <w:t xml:space="preserve">;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ואם האל בראו כך שאינו יטעה לעולם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הרי שלא היה מאפשר לו להטיל ספק‬‬</w:t>
      </w:r>
      <w:r>
        <w:rPr>
          <w:rStyle w:val="FootnoteAnchor"/>
          <w:i w:val="false"/>
          <w:i w:val="false"/>
          <w:iCs w:val="false"/>
          <w:sz w:val="24"/>
          <w:sz w:val="24"/>
          <w:szCs w:val="24"/>
          <w:rtl w:val="true"/>
        </w:rPr>
        <w:footnoteReference w:id="8"/>
      </w:r>
      <w:r>
        <w:rPr>
          <w:i w:val="false"/>
          <w:iCs w:val="false"/>
          <w:sz w:val="24"/>
          <w:szCs w:val="24"/>
          <w:rtl w:val="true"/>
        </w:rPr>
        <w:t xml:space="preserve">.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אך כפי שנוכחנו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עולה בכוחו של דקארט לסתור את מסקנתו של טיעון זה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ולהטיל ספק עמוק מאוד – בחוויותיו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בחושיו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ובאנושיותו ממש</w:t>
      </w:r>
      <w:r>
        <w:rPr>
          <w:i w:val="false"/>
          <w:iCs w:val="false"/>
          <w:sz w:val="24"/>
          <w:szCs w:val="24"/>
          <w:rtl w:val="true"/>
        </w:rPr>
        <w:t xml:space="preserve">.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לאור זאת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טיעון האל הטוב קורס – הרי שאין בכוחו של דקארט לדעת שהמציאות אכן כפי שחושב שהיא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ושאינו שוגה תמיד</w:t>
      </w:r>
      <w:r>
        <w:rPr>
          <w:i w:val="false"/>
          <w:iCs w:val="false"/>
          <w:sz w:val="24"/>
          <w:szCs w:val="24"/>
          <w:rtl w:val="true"/>
        </w:rPr>
        <w:t xml:space="preserve">.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משקצרה ידו של האל מלכונן את אמיתותיהן של האמנותיו – ולספק לדקארט את הביטחון אותו מבקש</w:t>
      </w:r>
      <w:r>
        <w:rPr>
          <w:i w:val="false"/>
          <w:iCs w:val="false"/>
          <w:sz w:val="24"/>
          <w:szCs w:val="24"/>
          <w:rtl w:val="true"/>
        </w:rPr>
        <w:t xml:space="preserve">, </w:t>
      </w:r>
      <w:r>
        <w:rPr>
          <w:i w:val="false"/>
          <w:i w:val="false"/>
          <w:iCs w:val="false"/>
          <w:sz w:val="24"/>
          <w:sz w:val="24"/>
          <w:szCs w:val="24"/>
          <w:rtl w:val="true"/>
        </w:rPr>
        <w:t>הטלת הספק במציאות הנתפסת היא המסקנה המתבקשת</w:t>
      </w:r>
      <w:r>
        <w:rPr>
          <w:i w:val="false"/>
          <w:iCs w:val="false"/>
          <w:sz w:val="24"/>
          <w:szCs w:val="24"/>
          <w:rtl w:val="true"/>
        </w:rPr>
        <w:t>.</w:t>
      </w:r>
      <w:r>
        <w:br w:type="page"/>
      </w:r>
    </w:p>
    <w:p>
      <w:pPr>
        <w:pStyle w:val="Philosophy"/>
        <w:bidi w:val="1"/>
        <w:ind w:left="0" w:right="0" w:hanging="0"/>
        <w:jc w:val="center"/>
        <w:rPr>
          <w:b/>
          <w:bCs/>
          <w:u w:val="single"/>
        </w:rPr>
      </w:pP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u w:val="single"/>
          <w:rtl w:val="true"/>
        </w:rPr>
        <w:t>ביבליוגרפיה</w:t>
      </w:r>
    </w:p>
    <w:p>
      <w:pPr>
        <w:pStyle w:val="Philosophy"/>
        <w:bidi w:val="1"/>
        <w:ind w:left="0" w:right="0" w:hanging="0"/>
        <w:jc w:val="center"/>
        <w:rPr>
          <w:b w:val="false"/>
          <w:bCs w:val="false"/>
          <w:u w:val="none"/>
        </w:rPr>
      </w:pP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רנה דקארט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הגיונות על הפילוסופיה הראשונית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דורי מנור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משכל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ה’תשס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 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>2001</w:t>
      </w:r>
    </w:p>
    <w:p>
      <w:pPr>
        <w:pStyle w:val="Footnote"/>
        <w:bidi w:val="0"/>
        <w:jc w:val="center"/>
        <w:rPr/>
      </w:pPr>
      <w:r>
        <w:rPr>
          <w:i w:val="false"/>
          <w:iCs w:val="false"/>
          <w:sz w:val="24"/>
          <w:szCs w:val="24"/>
        </w:rPr>
        <w:t>René Descartes, “Meditations on First Philosophy”</w:t>
      </w:r>
      <w:r>
        <w:rPr>
          <w:i/>
          <w:iCs/>
          <w:sz w:val="24"/>
          <w:szCs w:val="24"/>
        </w:rPr>
        <w:t>.</w:t>
      </w:r>
      <w:r>
        <w:rPr>
          <w:i w:val="false"/>
          <w:iCs w:val="false"/>
          <w:sz w:val="24"/>
          <w:szCs w:val="24"/>
        </w:rPr>
        <w:t xml:space="preserve"> </w:t>
      </w:r>
      <w:bookmarkStart w:id="0" w:name="productTitle_Copy_1"/>
      <w:bookmarkStart w:id="1" w:name="title_Copy_1"/>
      <w:bookmarkEnd w:id="0"/>
      <w:bookmarkEnd w:id="1"/>
      <w:r>
        <w:rPr>
          <w:i/>
          <w:iCs/>
          <w:sz w:val="24"/>
          <w:szCs w:val="24"/>
        </w:rPr>
        <w:t>Meditations on First Philosophy</w:t>
      </w:r>
      <w:r>
        <w:rPr>
          <w:i w:val="false"/>
          <w:iCs w:val="false"/>
          <w:sz w:val="24"/>
          <w:szCs w:val="24"/>
        </w:rPr>
        <w:t xml:space="preserve"> - 3</w:t>
      </w:r>
      <w:r>
        <w:rPr>
          <w:i w:val="false"/>
          <w:iCs w:val="false"/>
          <w:sz w:val="24"/>
          <w:szCs w:val="24"/>
          <w:vertAlign w:val="superscript"/>
        </w:rPr>
        <w:t>rd</w:t>
      </w:r>
      <w:r>
        <w:rPr>
          <w:i w:val="false"/>
          <w:iCs w:val="false"/>
          <w:sz w:val="24"/>
          <w:szCs w:val="24"/>
        </w:rPr>
        <w:t xml:space="preserve"> edition. Translation: Donald A. Cress. Indianapolis: Hackett Publishing Company, 1993</w:t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50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b w:val="false"/>
          <w:bCs w:val="false"/>
        </w:rPr>
        <w:tab/>
        <w:t xml:space="preserve">René Descartes, </w:t>
      </w:r>
      <w:bookmarkStart w:id="2" w:name="productTitle"/>
      <w:bookmarkStart w:id="3" w:name="title"/>
      <w:bookmarkEnd w:id="2"/>
      <w:bookmarkEnd w:id="3"/>
      <w:r>
        <w:rPr>
          <w:i/>
          <w:iCs/>
        </w:rPr>
        <w:t>Meditations on First Philosophy</w:t>
      </w:r>
      <w:r>
        <w:rPr>
          <w:i w:val="false"/>
          <w:iCs w:val="false"/>
        </w:rPr>
        <w:t>. Trans. Donald A. Cress (Indianapolis: Hackett Publishing Company, 1993), p. 12, para. 3</w:t>
      </w:r>
    </w:p>
  </w:footnote>
  <w:footnote w:id="3">
    <w:p>
      <w:pPr>
        <w:pStyle w:val="Footnote"/>
        <w:bidi w:val="0"/>
        <w:jc w:val="left"/>
        <w:rPr>
          <w:i w:val="false"/>
          <w:i w:val="false"/>
          <w:iCs w:val="false"/>
        </w:rPr>
      </w:pPr>
      <w:r>
        <w:rPr>
          <w:rStyle w:val="FootnoteCharacters"/>
        </w:rPr>
        <w:footnoteRef/>
      </w:r>
      <w:r>
        <w:rPr>
          <w:i w:val="false"/>
          <w:iCs w:val="false"/>
        </w:rPr>
        <w:tab/>
        <w:t>Ibid.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p. 13, para. 2 </w:t>
      </w:r>
    </w:p>
  </w:footnote>
  <w:footnote w:id="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Ibid, pp. 13-14, para. 3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Ibid, p. 14, para. 2</w:t>
      </w:r>
    </w:p>
  </w:footnote>
  <w:footnote w:id="7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רנה דקארט</w:t>
      </w:r>
      <w:r>
        <w:rPr>
          <w:rtl w:val="true"/>
        </w:rPr>
        <w:t xml:space="preserve">, </w:t>
      </w:r>
      <w:r>
        <w:rPr>
          <w:rtl w:val="true"/>
        </w:rPr>
        <w:t>הגיונות</w:t>
      </w:r>
      <w:r>
        <w:rPr>
          <w:rtl w:val="true"/>
        </w:rPr>
        <w:t xml:space="preserve">: </w:t>
      </w:r>
      <w:r>
        <w:rPr>
          <w:rtl w:val="true"/>
        </w:rPr>
        <w:t>על הפילוסופיה הראשונית</w:t>
      </w:r>
      <w:r>
        <w:rPr>
          <w:rtl w:val="true"/>
        </w:rPr>
        <w:t xml:space="preserve">. </w:t>
      </w:r>
      <w:r>
        <w:rPr>
          <w:rtl w:val="true"/>
        </w:rPr>
        <w:t xml:space="preserve">ת’ דורי מנור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משכל</w:t>
      </w:r>
      <w:r>
        <w:rPr>
          <w:rtl w:val="true"/>
        </w:rPr>
        <w:t xml:space="preserve">, </w:t>
      </w:r>
      <w:r>
        <w:rPr/>
        <w:t>2001</w:t>
      </w:r>
      <w:r>
        <w:rPr>
          <w:rtl w:val="true"/>
        </w:rPr>
        <w:t xml:space="preserve">), </w:t>
      </w:r>
      <w:r>
        <w:rPr>
          <w:rtl w:val="true"/>
        </w:rPr>
        <w:t xml:space="preserve">עמ’ </w:t>
      </w:r>
      <w:r>
        <w:rPr/>
        <w:t>18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1</w:t>
      </w:r>
      <w:r>
        <w:rPr>
          <w:rtl w:val="true"/>
        </w:rPr>
        <w:t>.</w:t>
      </w:r>
    </w:p>
  </w:footnote>
  <w:footnote w:id="8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>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cs="David CLM"/>
        <w:b/>
        <w:bCs/>
        <w:sz w:val="20"/>
        <w:szCs w:val="20"/>
      </w:rPr>
    </w:pPr>
    <w:r>
      <w:rPr>
        <w:rFonts w:cs="David CLM"/>
        <w:b/>
        <w:b/>
        <w:bCs/>
        <w:sz w:val="20"/>
        <w:sz w:val="20"/>
        <w:szCs w:val="20"/>
        <w:rtl w:val="true"/>
      </w:rPr>
      <w:t xml:space="preserve">מתן הורוביץ </w:t>
    </w:r>
    <w:r>
      <w:rPr>
        <w:rFonts w:cs="David CLM"/>
        <w:b/>
        <w:bCs/>
        <w:sz w:val="20"/>
        <w:szCs w:val="20"/>
      </w:rPr>
      <w:t>207130253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oto Serif CJK SC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3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3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rFonts w:ascii="Times New Roman" w:hAnsi="Times New Roman"/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104</TotalTime>
  <Application>LibreOffice/7.5.5.2$Linux_X86_64 LibreOffice_project/50$Build-2</Application>
  <AppVersion>15.0000</AppVersion>
  <Pages>2</Pages>
  <Words>338</Words>
  <Characters>1661</Characters>
  <CharactersWithSpaces>1993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2024-01-05T13:11:25Z</dcterms:created>
  <dc:creator/>
  <dc:description/>
  <dc:language>he-IL</dc:language>
  <cp:lastModifiedBy/>
  <dcterms:modified xsi:type="dcterms:W3CDTF">2024-01-05T15:38:28Z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