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bidi w:val="1"/>
        <w:ind w:left="0" w:right="0" w:hanging="0"/>
        <w:jc w:val="left"/>
        <w:rPr/>
      </w:pP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בחלק ב’ של ה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אתיקה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ברוך שפינוזה הוגה במושג ה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אידאה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- “[…]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מושג של הנפש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שהנפש מעצבת מכיוון שהנה דבר חושב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"</w:t>
      </w:r>
      <w:r>
        <w:rPr>
          <w:rStyle w:val="FootnoteAnchor"/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footnoteReference w:id="2"/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האידאה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לפי שפינוזה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טומנת בחובה ערך חיוב או שלילה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אותו הדעה הרווחת מייחסת בכזב לרצון – אותו שפינוזה שולל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הכשל הזה נובע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לדידו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מזיהוי שגוי של האידאה – דבר מחשבתי גרידא – עם מושא חומרי</w:t>
      </w:r>
      <w:r>
        <w:rPr>
          <w:rStyle w:val="FootnoteAnchor"/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footnoteReference w:id="3"/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כשאנו מעלים בעיני רוחנו דבר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-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מה מן החומר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דבר מתפשט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מדובר ב</w:t>
      </w:r>
      <w:r>
        <w:rPr>
          <w:rFonts w:ascii="Narkisim" w:hAnsi="Narkisim" w:cs="Narkisim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דימוי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– שמהותו מסתכמת בחושים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ואינה מערבת מחשבה</w:t>
      </w:r>
      <w:r>
        <w:rPr>
          <w:rStyle w:val="FootnoteAnchor"/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footnoteReference w:id="4"/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</w:p>
    <w:p>
      <w:pPr>
        <w:pStyle w:val="Philosophy"/>
        <w:bidi w:val="1"/>
        <w:ind w:left="0" w:right="0" w:hanging="0"/>
        <w:jc w:val="left"/>
        <w:rPr>
          <w:b w:val="false"/>
          <w:bCs w:val="false"/>
        </w:rPr>
      </w:pP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ab/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שפינוזה מנמק ביקורת זו לאור שלילתו של הרצון בשיטתו הפילוסופית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לפיה 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"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הרצון והשכל הם אותו דבר עצמו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"</w:t>
      </w:r>
      <w:r>
        <w:rPr>
          <w:rStyle w:val="FootnoteAnchor"/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footnoteReference w:id="5"/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לאידאות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הוא טוען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יש ערך חיובי או שלילי מובנה במהותן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מתוקף היותן מושג של השכל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;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בשיטתו הדטרמיניסטית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הדברים שאנו יכולים לחשוב עליהם נושאים ערך חיובי או שלילי מתוך הכרח לוגי – ולא מתוך הרצון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כפי שנוהגת הדעה הרווחת לטעון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לפיכך</w:t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אין בכוחנו כלל ועיקר לטעון כנגד החיוב או השלילה הטמונים בכל אידאה – גם כאשר אנו מתיימרים לעשות זאת מילולית</w:t>
      </w:r>
      <w:r>
        <w:rPr>
          <w:rStyle w:val="FootnoteAnchor"/>
          <w:rFonts w:ascii="Narkisim" w:hAnsi="Narkisim" w:cs="Narkisim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footnoteReference w:id="6"/>
      </w:r>
      <w:r>
        <w:rPr>
          <w:rFonts w:cs="Narkisim" w:ascii="Narkisim" w:hAnsi="Narkisim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br w:type="page"/>
      </w:r>
    </w:p>
    <w:p>
      <w:pPr>
        <w:pStyle w:val="Philosophy"/>
        <w:ind w:left="0" w:right="0" w:hanging="0"/>
        <w:jc w:val="center"/>
        <w:rPr>
          <w:b/>
          <w:bCs/>
          <w:u w:val="single"/>
        </w:rPr>
      </w:pPr>
      <w:r>
        <w:rPr>
          <w:b/>
          <w:b/>
          <w:bCs/>
          <w:u w:val="single"/>
          <w:rtl w:val="true"/>
        </w:rPr>
        <w:t>ביבליוגרפיה</w:t>
      </w:r>
    </w:p>
    <w:p>
      <w:pPr>
        <w:pStyle w:val="Philosophy"/>
        <w:ind w:left="0" w:right="0" w:hanging="0"/>
        <w:jc w:val="center"/>
        <w:rPr/>
      </w:pP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ברוך שפינוזה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אתיקה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תרגום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ירמיהו יובל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תל אביב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הקיבוץ המאוחד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Cs w:val="false"/>
          <w:i w:val="false"/>
          <w:iCs w:val="false"/>
          <w:u w:val="none"/>
        </w:rPr>
        <w:t>2003</w:t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sectPr>
      <w:footnotePr>
        <w:numFmt w:val="decimal"/>
      </w:footnote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Narkisim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שפינוזה</w:t>
      </w:r>
      <w:r>
        <w:rPr>
          <w:rtl w:val="true"/>
        </w:rPr>
        <w:t xml:space="preserve">, </w:t>
      </w:r>
      <w:r>
        <w:rPr>
          <w:rtl w:val="true"/>
        </w:rPr>
        <w:t>ברוך</w:t>
      </w:r>
      <w:r>
        <w:rPr>
          <w:rtl w:val="true"/>
        </w:rPr>
        <w:t xml:space="preserve">. </w:t>
      </w:r>
      <w:r>
        <w:rPr>
          <w:i/>
          <w:i/>
          <w:iCs/>
          <w:rtl w:val="true"/>
        </w:rPr>
        <w:t>אתיקה</w:t>
      </w:r>
      <w:r>
        <w:rPr>
          <w:rtl w:val="true"/>
        </w:rPr>
        <w:t xml:space="preserve">. </w:t>
      </w:r>
      <w:r>
        <w:rPr>
          <w:rtl w:val="true"/>
        </w:rPr>
        <w:t xml:space="preserve">תרגם ירמיהו יובל </w:t>
      </w:r>
      <w:r>
        <w:rPr>
          <w:rtl w:val="true"/>
        </w:rPr>
        <w:t>(</w:t>
      </w:r>
      <w:r>
        <w:rPr>
          <w:rtl w:val="true"/>
        </w:rPr>
        <w:t>תל אביב</w:t>
      </w:r>
      <w:r>
        <w:rPr>
          <w:rtl w:val="true"/>
        </w:rPr>
        <w:t xml:space="preserve">: </w:t>
      </w:r>
      <w:r>
        <w:rPr>
          <w:rtl w:val="true"/>
        </w:rPr>
        <w:t>הקיבוץ המאוחד</w:t>
      </w:r>
      <w:r>
        <w:rPr>
          <w:rtl w:val="true"/>
        </w:rPr>
        <w:t>,</w:t>
      </w:r>
      <w:r>
        <w:rPr/>
        <w:t>2003</w:t>
      </w:r>
      <w:r>
        <w:rPr>
          <w:rtl w:val="true"/>
        </w:rPr>
        <w:t xml:space="preserve">). </w:t>
      </w:r>
      <w:r>
        <w:rPr>
          <w:rtl w:val="true"/>
        </w:rPr>
        <w:t>חלק ב’</w:t>
      </w:r>
      <w:r>
        <w:rPr>
          <w:rtl w:val="true"/>
        </w:rPr>
        <w:t>,</w:t>
      </w:r>
      <w:r>
        <w:rPr>
          <w:rtl w:val="true"/>
        </w:rPr>
        <w:t xml:space="preserve"> </w:t>
      </w:r>
      <w:r>
        <w:rPr>
          <w:rtl w:val="true"/>
        </w:rPr>
        <w:t xml:space="preserve">עמ’ </w:t>
      </w:r>
      <w:r>
        <w:rPr/>
        <w:t>125</w:t>
      </w:r>
      <w:r>
        <w:rPr>
          <w:rtl w:val="true"/>
        </w:rPr>
        <w:t xml:space="preserve">, </w:t>
      </w:r>
      <w:r>
        <w:rPr>
          <w:rtl w:val="true"/>
        </w:rPr>
        <w:t xml:space="preserve">משפט </w:t>
      </w:r>
      <w:r>
        <w:rPr/>
        <w:t>3</w:t>
      </w:r>
      <w:r>
        <w:rPr>
          <w:rtl w:val="true"/>
        </w:rPr>
        <w:t>.</w:t>
      </w:r>
    </w:p>
  </w:footnote>
  <w:footnote w:id="3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184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2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1-6</w:t>
      </w:r>
      <w:r>
        <w:rPr>
          <w:rtl w:val="true"/>
        </w:rPr>
        <w:t>.</w:t>
      </w:r>
    </w:p>
  </w:footnote>
  <w:footnote w:id="4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פס’ </w:t>
      </w:r>
      <w:r>
        <w:rPr/>
        <w:t>3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1-2</w:t>
      </w:r>
      <w:r>
        <w:rPr>
          <w:rtl w:val="true"/>
        </w:rPr>
        <w:t>.</w:t>
      </w:r>
    </w:p>
  </w:footnote>
  <w:footnote w:id="5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183</w:t>
      </w:r>
      <w:r>
        <w:rPr>
          <w:rtl w:val="true"/>
        </w:rPr>
        <w:t xml:space="preserve">, </w:t>
      </w:r>
      <w:r>
        <w:rPr>
          <w:rtl w:val="true"/>
        </w:rPr>
        <w:t xml:space="preserve">משפט נסמך </w:t>
      </w:r>
      <w:r>
        <w:rPr/>
        <w:t>49</w:t>
      </w:r>
      <w:r>
        <w:rPr>
          <w:rtl w:val="true"/>
        </w:rPr>
        <w:t>.</w:t>
      </w:r>
    </w:p>
  </w:footnote>
  <w:footnote w:id="6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184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2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7-9</w:t>
      </w:r>
    </w:p>
  </w:footnote>
</w:footnotes>
</file>

<file path=word/settings.xml><?xml version="1.0" encoding="utf-8"?>
<w:settings xmlns:w="http://schemas.openxmlformats.org/wordprocessingml/2006/main">
  <w:zoom w:percent="8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  <w:jc w:val="left"/>
      </w:pPr>
    </w:pPrDefault>
  </w:docDefaults>
  <w:style w:type="paragraph" w:styleId="Normal">
    <w:name w:val="Normal"/>
    <w:qFormat/>
    <w:pPr>
      <w:widowControl/>
      <w:suppressAutoHyphens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/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Style14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left="0" w:right="0" w:firstLine="58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4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">
    <w:name w:val="Footnote Text"/>
    <w:basedOn w:val="Normal"/>
    <w:pPr>
      <w:suppressLineNumbers/>
      <w:ind w:left="34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1009</TotalTime>
  <Application>LibreOffice/7.5.5.2$Linux_X86_64 LibreOffice_project/50$Build-2</Application>
  <AppVersion>15.0000</AppVersion>
  <Pages>2</Pages>
  <Words>197</Words>
  <Characters>920</Characters>
  <CharactersWithSpaces>1117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2024-02-03T13:06:37Z</dcterms:created>
  <dc:creator/>
  <dc:description/>
  <dc:language>he-IL</dc:language>
  <cp:lastModifiedBy/>
  <dcterms:modified xsi:type="dcterms:W3CDTF">2024-02-17T12:35:28Z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