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Philosophy"/>
        <w:bidi w:val="1"/>
        <w:ind w:left="0" w:right="0" w:hanging="0"/>
        <w:jc w:val="left"/>
        <w:rPr/>
      </w:pPr>
      <w:r>
        <w:rPr>
          <w:rtl w:val="true"/>
        </w:rPr>
        <w:t xml:space="preserve">"[…] </w:t>
      </w:r>
      <w:r>
        <w:rPr>
          <w:rtl w:val="true"/>
        </w:rPr>
        <w:t>שלא מדעת</w:t>
      </w:r>
      <w:r>
        <w:rPr>
          <w:rtl w:val="true"/>
        </w:rPr>
        <w:t xml:space="preserve">, </w:t>
      </w:r>
      <w:r>
        <w:rPr>
          <w:rtl w:val="true"/>
        </w:rPr>
        <w:t xml:space="preserve">הם </w:t>
      </w:r>
      <w:r>
        <w:rPr>
          <w:rtl w:val="true"/>
        </w:rPr>
        <w:t>[</w:t>
      </w:r>
      <w:r>
        <w:rPr>
          <w:rtl w:val="true"/>
        </w:rPr>
        <w:t>בני האדם</w:t>
      </w:r>
      <w:r>
        <w:rPr>
          <w:rtl w:val="true"/>
        </w:rPr>
        <w:t xml:space="preserve">] </w:t>
      </w:r>
      <w:r>
        <w:rPr>
          <w:rtl w:val="true"/>
        </w:rPr>
        <w:t>מייחסים לאלוהים כוח דמיון</w:t>
      </w:r>
      <w:r>
        <w:rPr>
          <w:rtl w:val="true"/>
        </w:rPr>
        <w:t>"</w:t>
      </w:r>
      <w:r>
        <w:rPr>
          <w:rStyle w:val="FootnoteAnchor"/>
          <w:rtl w:val="true"/>
        </w:rPr>
        <w:footnoteReference w:id="2"/>
      </w:r>
      <w:r>
        <w:rPr>
          <w:rtl w:val="true"/>
        </w:rPr>
        <w:t xml:space="preserve">, </w:t>
      </w:r>
      <w:r>
        <w:rPr>
          <w:rtl w:val="true"/>
        </w:rPr>
        <w:t>אומר שפינוזה בנספחים ל</w:t>
      </w:r>
      <w:r>
        <w:rPr>
          <w:i/>
          <w:i/>
          <w:iCs/>
          <w:rtl w:val="true"/>
        </w:rPr>
        <w:t>אתיקה</w:t>
      </w:r>
      <w:r>
        <w:rPr>
          <w:i w:val="false"/>
          <w:iCs w:val="false"/>
          <w:rtl w:val="true"/>
        </w:rPr>
        <w:t>, "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[…]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מתוך שהם חסרים ידיעה של טבע הדברים ושל טבעם שלהם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הם מאמינים בתוקף שיש סדר בדברים</w:t>
      </w:r>
      <w:r>
        <w:rPr>
          <w:b w:val="false"/>
          <w:bCs w:val="false"/>
          <w:i w:val="false"/>
          <w:iCs w:val="false"/>
          <w:u w:val="none"/>
          <w:rtl w:val="true"/>
        </w:rPr>
        <w:t>.”</w:t>
      </w:r>
      <w:r>
        <w:rPr>
          <w:rStyle w:val="FootnoteAnchor"/>
          <w:b w:val="false"/>
          <w:bCs w:val="false"/>
          <w:i w:val="false"/>
          <w:iCs w:val="false"/>
          <w:u w:val="none"/>
          <w:rtl w:val="true"/>
        </w:rPr>
        <w:footnoteReference w:id="3"/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בקטע זה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טוען שפינוזה כי האדם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ביהירותו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מציב את תפיסת המציאות הפרטנית שלו במרכז</w:t>
      </w:r>
      <w:r>
        <w:rPr>
          <w:rStyle w:val="FootnoteAnchor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footnoteReference w:id="4"/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 – ואף מצדיק אותה באמצעות האל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! -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בכדי לא להתעמת עם האמיתות הקשות העולות מן ההיקש השכלתני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שאין בהכרח סדר בטבע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שיש אינסוף דברים שלעד תהא ידנו קצרה מלתפוס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ושאנו בורים באשר לטבע המציאות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וטבע האל</w:t>
      </w:r>
      <w:r>
        <w:rPr>
          <w:rStyle w:val="FootnoteAnchor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footnoteReference w:id="5"/>
      </w:r>
      <w:r>
        <w:rPr>
          <w:b w:val="false"/>
          <w:bCs w:val="false"/>
          <w:i w:val="false"/>
          <w:iCs w:val="false"/>
          <w:u w:val="none"/>
          <w:rtl w:val="true"/>
        </w:rPr>
        <w:t>.</w:t>
      </w:r>
    </w:p>
    <w:p>
      <w:pPr>
        <w:pStyle w:val="Philosophy"/>
        <w:bidi w:val="1"/>
        <w:ind w:left="0" w:right="0" w:hanging="0"/>
        <w:jc w:val="left"/>
        <w:rPr/>
      </w:pPr>
      <w:r>
        <w:rPr>
          <w:b w:val="false"/>
          <w:bCs w:val="false"/>
          <w:i w:val="false"/>
          <w:iCs w:val="false"/>
          <w:u w:val="none"/>
          <w:rtl w:val="true"/>
        </w:rPr>
        <w:tab/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נעים לנו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בני האדם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למצב עצמנו כיצורים חופשיים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כנזר הבריאה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ולהסיק משום כך שטבעי הדברים מתיישבים עם תפיסתנו הפרטנית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הטרודה במושגים השולטים בעולם האדם – הטוב והרע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הסדר והערבוביה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השבח והגנאי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החטא ומידת הזכות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;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נוח לנו להסיק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ש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יש סדר בדברים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ביוהרתם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הם מצדיקים את אותו הסדר באמצעות האל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שלו מייחסים את תפיסתם שלהם</w:t>
      </w:r>
      <w:r>
        <w:rPr>
          <w:b w:val="false"/>
          <w:bCs w:val="false"/>
          <w:i w:val="false"/>
          <w:iCs w:val="false"/>
          <w:u w:val="none"/>
          <w:rtl w:val="true"/>
        </w:rPr>
        <w:t>.</w:t>
      </w:r>
    </w:p>
    <w:p>
      <w:pPr>
        <w:pStyle w:val="Philosophy"/>
        <w:bidi w:val="1"/>
        <w:ind w:left="0" w:right="0" w:hanging="0"/>
        <w:jc w:val="left"/>
        <w:rPr/>
      </w:pPr>
      <w:r>
        <w:rPr>
          <w:b w:val="false"/>
          <w:bCs w:val="false"/>
          <w:i w:val="false"/>
          <w:iCs w:val="false"/>
          <w:u w:val="none"/>
          <w:rtl w:val="true"/>
        </w:rPr>
        <w:tab/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אולם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מבחין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 שפינוזה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תפיסה זו אינה שכלתנית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אלא פרי הדמיון האנושי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האדם קובע את סדר הדברים בצלמו לא מתוקף התבונה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אלא משום שכך נוח לו לחשוב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אולם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אם יפנה אל השכל במקום אל הדמיון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ייאלץ להתעמת עם אמיתות עוכרות שלווה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שייתכן שישנם אינספור דברים הנשגבים מבינתו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שאין שום סדר בטבע המציאות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ושתפיסת עולמנו איננה טבע המציאות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אלא פרשנות פרטנית צרה של מציאות זרה לחלוטין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אם נפנה אל השכל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טוען שפינוזה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נוכל מיד להסיק כי אין כל הכרח לסדר בטבע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ואין בפינו הצדקה לטוב ולרע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למועיל ולמסב הנחת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ובוודאי שלא לדרכי האל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כך שולל שפינוזה את בסיסה האפיסטמי של התפיסה האנושית – כדימיון – ומותיר אותנו לבדנו מול האל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br w:type="page"/>
      </w:r>
    </w:p>
    <w:p>
      <w:pPr>
        <w:pStyle w:val="Philosophy"/>
        <w:ind w:hanging="0"/>
        <w:jc w:val="center"/>
        <w:rPr>
          <w:b/>
          <w:bCs/>
          <w:u w:val="single"/>
        </w:rPr>
      </w:pPr>
      <w:r>
        <w:rPr>
          <w:b/>
          <w:b/>
          <w:bCs/>
          <w:u w:val="single"/>
          <w:rtl w:val="true"/>
        </w:rPr>
        <w:t>ביבליוגרפיה</w:t>
      </w:r>
    </w:p>
    <w:p>
      <w:pPr>
        <w:pStyle w:val="Philosophy"/>
        <w:ind w:hanging="0"/>
        <w:jc w:val="center"/>
        <w:rPr/>
      </w:pP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ברוך שפינוזה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>אתיקה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תרגום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ירמיהו יובל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תל אביב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הקיבוץ המאוחד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Cs w:val="false"/>
          <w:i w:val="false"/>
          <w:iCs w:val="false"/>
          <w:u w:val="none"/>
        </w:rPr>
        <w:t>2003</w:t>
      </w:r>
      <w:r>
        <w:rPr>
          <w:b w:val="false"/>
          <w:bCs w:val="false"/>
          <w:i w:val="false"/>
          <w:iCs w:val="false"/>
          <w:u w:val="none"/>
          <w:rtl w:val="true"/>
        </w:rPr>
        <w:t>.</w:t>
      </w:r>
    </w:p>
    <w:sectPr>
      <w:footnotePr>
        <w:numFmt w:val="decimal"/>
      </w:footnote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bidi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שפינוזה</w:t>
      </w:r>
      <w:r>
        <w:rPr>
          <w:rtl w:val="true"/>
        </w:rPr>
        <w:t xml:space="preserve">, </w:t>
      </w:r>
      <w:r>
        <w:rPr>
          <w:rtl w:val="true"/>
        </w:rPr>
        <w:t>ברוך</w:t>
      </w:r>
      <w:r>
        <w:rPr>
          <w:rtl w:val="true"/>
        </w:rPr>
        <w:t xml:space="preserve">. </w:t>
      </w:r>
      <w:r>
        <w:rPr>
          <w:i/>
          <w:i/>
          <w:iCs/>
          <w:rtl w:val="true"/>
        </w:rPr>
        <w:t>אתיקה</w:t>
      </w:r>
      <w:r>
        <w:rPr>
          <w:rtl w:val="true"/>
        </w:rPr>
        <w:t xml:space="preserve">. </w:t>
      </w:r>
      <w:r>
        <w:rPr>
          <w:rtl w:val="true"/>
        </w:rPr>
        <w:t xml:space="preserve">תרגם ירמיהו יובל </w:t>
      </w:r>
      <w:r>
        <w:rPr>
          <w:rtl w:val="true"/>
        </w:rPr>
        <w:t>(</w:t>
      </w:r>
      <w:r>
        <w:rPr>
          <w:rtl w:val="true"/>
        </w:rPr>
        <w:t>תל אביב</w:t>
      </w:r>
      <w:r>
        <w:rPr>
          <w:rtl w:val="true"/>
        </w:rPr>
        <w:t xml:space="preserve">: </w:t>
      </w:r>
      <w:r>
        <w:rPr>
          <w:rtl w:val="true"/>
        </w:rPr>
        <w:t>הקיבוץ המאוחד</w:t>
      </w:r>
      <w:r>
        <w:rPr>
          <w:rtl w:val="true"/>
        </w:rPr>
        <w:t>,</w:t>
      </w:r>
      <w:r>
        <w:rPr/>
        <w:t>2003</w:t>
      </w:r>
      <w:r>
        <w:rPr>
          <w:rtl w:val="true"/>
        </w:rPr>
        <w:t>)</w:t>
      </w:r>
      <w:r>
        <w:rPr>
          <w:rtl w:val="true"/>
        </w:rPr>
        <w:t xml:space="preserve">. </w:t>
      </w:r>
      <w:r>
        <w:rPr>
          <w:rtl w:val="true"/>
        </w:rPr>
        <w:t xml:space="preserve">עמ’ </w:t>
      </w:r>
      <w:r>
        <w:rPr/>
        <w:t>120</w:t>
      </w:r>
      <w:r>
        <w:rPr>
          <w:rtl w:val="true"/>
        </w:rPr>
        <w:t xml:space="preserve">, </w:t>
      </w:r>
      <w:r>
        <w:rPr>
          <w:rtl w:val="true"/>
        </w:rPr>
        <w:t xml:space="preserve">פס’ </w:t>
      </w:r>
      <w:r>
        <w:rPr/>
        <w:t>2</w:t>
      </w:r>
      <w:r>
        <w:rPr>
          <w:rtl w:val="true"/>
        </w:rPr>
        <w:t xml:space="preserve">, </w:t>
      </w:r>
      <w:r>
        <w:rPr>
          <w:rtl w:val="true"/>
        </w:rPr>
        <w:t xml:space="preserve">ש’ </w:t>
      </w:r>
      <w:r>
        <w:rPr/>
        <w:t>12</w:t>
      </w:r>
      <w:r>
        <w:rPr>
          <w:rtl w:val="true"/>
        </w:rPr>
        <w:t>.</w:t>
      </w:r>
    </w:p>
  </w:footnote>
  <w:footnote w:id="3">
    <w:p>
      <w:pPr>
        <w:pStyle w:val="Footnote"/>
        <w:suppressLineNumbers/>
        <w:bidi w:val="1"/>
        <w:ind w:left="340" w:hanging="340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שם</w:t>
      </w:r>
      <w:r>
        <w:rPr>
          <w:rtl w:val="true"/>
        </w:rPr>
        <w:t xml:space="preserve">. </w:t>
      </w:r>
      <w:r>
        <w:rPr>
          <w:rtl w:val="true"/>
        </w:rPr>
        <w:t xml:space="preserve">ש’ </w:t>
      </w:r>
      <w:r>
        <w:rPr/>
        <w:t>4-5</w:t>
      </w:r>
      <w:r>
        <w:rPr>
          <w:rtl w:val="true"/>
        </w:rPr>
        <w:t>.</w:t>
      </w:r>
    </w:p>
  </w:footnote>
  <w:footnote w:id="4">
    <w:p>
      <w:pPr>
        <w:pStyle w:val="Footnote"/>
        <w:suppressLineNumbers/>
        <w:bidi w:val="1"/>
        <w:ind w:left="340" w:hanging="340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שם</w:t>
      </w:r>
      <w:r>
        <w:rPr>
          <w:rtl w:val="true"/>
        </w:rPr>
        <w:t xml:space="preserve">. </w:t>
      </w:r>
      <w:r>
        <w:rPr>
          <w:rtl w:val="true"/>
        </w:rPr>
        <w:t xml:space="preserve">עמ’ </w:t>
      </w:r>
      <w:r>
        <w:rPr/>
        <w:t>119</w:t>
      </w:r>
      <w:r>
        <w:rPr>
          <w:rtl w:val="true"/>
        </w:rPr>
        <w:t xml:space="preserve">, </w:t>
      </w:r>
      <w:r>
        <w:rPr>
          <w:rtl w:val="true"/>
        </w:rPr>
        <w:t xml:space="preserve">פס’ </w:t>
      </w:r>
      <w:r>
        <w:rPr/>
        <w:t>3</w:t>
      </w:r>
      <w:r>
        <w:rPr>
          <w:rtl w:val="true"/>
        </w:rPr>
        <w:t>.</w:t>
      </w:r>
    </w:p>
  </w:footnote>
  <w:footnote w:id="5">
    <w:p>
      <w:pPr>
        <w:pStyle w:val="Footnote"/>
        <w:suppressLineNumbers/>
        <w:bidi w:val="1"/>
        <w:ind w:left="340" w:hanging="340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שם</w:t>
      </w:r>
      <w:r>
        <w:rPr>
          <w:rtl w:val="true"/>
        </w:rPr>
        <w:t xml:space="preserve">. </w:t>
      </w:r>
      <w:r>
        <w:rPr>
          <w:rtl w:val="true"/>
        </w:rPr>
        <w:t xml:space="preserve">עמ’ </w:t>
      </w:r>
      <w:r>
        <w:rPr/>
        <w:t>120</w:t>
      </w:r>
      <w:r>
        <w:rPr>
          <w:rtl w:val="true"/>
        </w:rPr>
        <w:t xml:space="preserve">, </w:t>
      </w:r>
      <w:r>
        <w:rPr>
          <w:rtl w:val="true"/>
        </w:rPr>
        <w:t xml:space="preserve">פס’ </w:t>
      </w:r>
      <w:r>
        <w:rPr/>
        <w:t>2</w:t>
      </w:r>
      <w:r>
        <w:rPr>
          <w:rtl w:val="true"/>
        </w:rPr>
        <w:t xml:space="preserve">, </w:t>
      </w:r>
      <w:r>
        <w:rPr>
          <w:rtl w:val="true"/>
        </w:rPr>
        <w:t xml:space="preserve">ש’ </w:t>
      </w:r>
      <w:r>
        <w:rPr/>
        <w:t>14-15</w:t>
      </w:r>
      <w:r>
        <w:rPr>
          <w:rtl w:val="true"/>
        </w:rPr>
        <w:t>.</w:t>
      </w:r>
    </w:p>
  </w:footnote>
</w:footnotes>
</file>

<file path=word/settings.xml><?xml version="1.0" encoding="utf-8"?>
<w:settings xmlns:w="http://schemas.openxmlformats.org/wordprocessingml/2006/main">
  <w:zoom w:percent="80"/>
  <w:defaultTabStop w:val="709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iberation Serif"/>
        <w:kern w:val="2"/>
        <w:sz w:val="24"/>
        <w:szCs w:val="24"/>
        <w:lang w:val="en-US" w:eastAsia="zh-CN" w:bidi="he-IL"/>
      </w:rPr>
    </w:rPrDefault>
    <w:pPrDefault>
      <w:pPr>
        <w:widowControl/>
        <w:suppressAutoHyphens w:val="true"/>
        <w:jc w:val="left"/>
      </w:pPr>
    </w:pPrDefault>
  </w:docDefaults>
  <w:style w:type="paragraph" w:styleId="Normal">
    <w:name w:val="Normal"/>
    <w:qFormat/>
    <w:pPr>
      <w:widowControl/>
      <w:bidi w:val="1"/>
      <w:jc w:val="left"/>
    </w:pPr>
    <w:rPr>
      <w:rFonts w:ascii="Liberation Serif" w:hAnsi="Liberation Serif" w:eastAsia="Noto Serif CJK SC" w:cs="Liberation Serif"/>
      <w:color w:val="auto"/>
      <w:kern w:val="2"/>
      <w:sz w:val="24"/>
      <w:szCs w:val="24"/>
      <w:lang w:val="en-US" w:eastAsia="zh-CN" w:bidi="he-IL"/>
    </w:rPr>
  </w:style>
  <w:style w:type="character" w:styleId="FootnoteCharacters">
    <w:name w:val="Footnote Characters"/>
    <w:qFormat/>
    <w:rPr/>
  </w:style>
  <w:style w:type="character" w:styleId="FootnoteAnchor">
    <w:name w:val="Footnote Reference"/>
    <w:rPr>
      <w:vertAlign w:val="superscript"/>
    </w:rPr>
  </w:style>
  <w:style w:type="character" w:styleId="EndnoteAnchor">
    <w:name w:val="Endnote Reference"/>
    <w:rPr>
      <w:vertAlign w:val="superscript"/>
    </w:rPr>
  </w:style>
  <w:style w:type="character" w:styleId="EndnoteCharacters">
    <w:name w:val="Endnote Character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Noto Sans Hebrew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iberation Serif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iberation Serif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iberation Serif"/>
    </w:rPr>
  </w:style>
  <w:style w:type="paragraph" w:styleId="Style14">
    <w:name w:val="אקדמי"/>
    <w:basedOn w:val="Normal"/>
    <w:qFormat/>
    <w:pPr>
      <w:tabs>
        <w:tab w:val="clear" w:pos="709"/>
      </w:tabs>
      <w:bidi w:val="1"/>
      <w:spacing w:lineRule="auto" w:line="480" w:before="0" w:after="0"/>
      <w:ind w:left="0" w:right="0" w:firstLine="58"/>
      <w:contextualSpacing/>
    </w:pPr>
    <w:rPr>
      <w:rFonts w:ascii="Times New Roman" w:hAnsi="Times New Roman" w:cs="David Libre"/>
      <w:sz w:val="24"/>
      <w:szCs w:val="24"/>
      <w:u w:val="none"/>
    </w:rPr>
  </w:style>
  <w:style w:type="paragraph" w:styleId="Philosophy">
    <w:name w:val="Philosophy"/>
    <w:basedOn w:val="Style14"/>
    <w:qFormat/>
    <w:pPr>
      <w:bidi w:val="1"/>
      <w:spacing w:lineRule="auto" w:line="360"/>
      <w:jc w:val="both"/>
    </w:pPr>
    <w:rPr>
      <w:rFonts w:cs="David CLM"/>
      <w:bCs w:val="false"/>
    </w:rPr>
  </w:style>
  <w:style w:type="paragraph" w:styleId="Footnote">
    <w:name w:val="Footnote Text"/>
    <w:basedOn w:val="Normal"/>
    <w:pPr>
      <w:suppressLineNumbers/>
      <w:ind w:left="340" w:hanging="34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notes" Target="footnotes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LibreOffice/7.5.5.2$Linux_X86_64 LibreOffice_project/50$Build-2</Application>
  <AppVersion>15.0000</AppVersion>
  <Pages>2</Pages>
  <Words>281</Words>
  <Characters>1325</Characters>
  <CharactersWithSpaces>1605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2024-02-03T13:06:37Z</dcterms:created>
  <dc:creator/>
  <dc:description/>
  <dc:language>he-IL</dc:language>
  <cp:lastModifiedBy/>
  <dcterms:modified xsi:type="dcterms:W3CDTF">2024-02-03T13:07:19Z</dcterms:modified>
  <cp:revision>1</cp:revision>
  <dc:subject/>
  <dc:title/>
</cp:coreProperties>
</file>