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left="0" w:right="0" w:hanging="0"/>
        <w:rPr/>
      </w:pP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בשישי מה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rtl w:val="true"/>
        </w:rPr>
        <w:t>הגיונות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מצליח דקארט לפתור את הבעיה שמציף 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rtl w:val="true"/>
        </w:rPr>
        <w:t>טיעון החלום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ב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rtl w:val="true"/>
        </w:rPr>
        <w:t>היגיון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הראשון – חוסר יכולתו להבחין בין ערות לשינה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footnoteReference w:id="2"/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סוגיה זו היא עילתו של דקארט להטלת ספק עמוק מאוד בחושים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מקור הידע העיקרי שלו –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וכך נותר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בחוסר ודאות בעולם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footnoteReference w:id="3"/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אלא שבהיגיון זה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פותר דקארט את הספק הזה בכך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סית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את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מקור ההכרה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שלו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מן ה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חושים אל פעולת השכל –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ר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בו לא עלה בכוחו להטיל ספק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footnoteReference w:id="4"/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.</w:t>
      </w:r>
    </w:p>
    <w:p>
      <w:pPr>
        <w:pStyle w:val="Philosophy"/>
        <w:bidi w:val="1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לאורך ה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rtl w:val="true"/>
        </w:rPr>
        <w:t>הגיונות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דקארט אינו נסוג מהסייג שלו באשר לחושים – בעוד שאלו מורים לרוב על האמת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עדיין בכוחם להטעות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אלא שטעות זו הולכת וקטנה ככל שבוחר להשתמש במספר חושים יחדיו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ואת כל אלו לעמת בעיני רוחו כנגד ניסיונו הקודם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ולאשררם בכוח השכל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החושים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קובע דקארט בהיגיון השני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הם רק האמצעי לתפיסה – אשר הינה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הלכה למעשה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שכלתנית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footnoteReference w:id="5"/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לכן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קובע דקארט בהיגיון השישי כי 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"[...]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יכול אני להשתמש בזיכרוני כדי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 לקשור ולחבר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את כל ידיעותי בעבר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וכן גם בשכלי שכבר גילה את כל סיבותיהן של טעויותי 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[...]"</w:t>
      </w:r>
      <w:r>
        <w:rPr>
          <w:rStyle w:val="FootnoteAnchor"/>
          <w:b w:val="false"/>
          <w:bCs w:val="false"/>
          <w:i w:val="false"/>
          <w:iCs w:val="false"/>
          <w:sz w:val="24"/>
          <w:szCs w:val="24"/>
          <w:rtl w:val="true"/>
        </w:rPr>
        <w:footnoteReference w:id="6"/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.</w:t>
      </w:r>
    </w:p>
    <w:p>
      <w:pPr>
        <w:pStyle w:val="Philosophy"/>
        <w:bidi w:val="1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מרגע שפונה ליסודות אלו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הבטוחים מן החושים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מוצא דקארט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את אמת המידה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להבח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נה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בין השינה לערות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בעוד שהחושים עלולים להטעות אותו בדבר החלום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כפי שנוכח בהיגיון הראשון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היסוד השכלתני שבו בטל בחלום – אין ביכולתו לקשור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לחבר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או אפילו לדעת את החלום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רק בערות יכול לתפוס דברים בצורה אחידה ועקבית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כך שאינם סותרים את ניסיונו הקודם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br w:type="page"/>
      </w:r>
    </w:p>
    <w:p>
      <w:pPr>
        <w:pStyle w:val="Philosophy"/>
        <w:bidi w:val="1"/>
        <w:ind w:left="0" w:right="0" w:hanging="0"/>
        <w:jc w:val="center"/>
        <w:rPr>
          <w:b/>
          <w:bCs/>
          <w:u w:val="single"/>
        </w:rPr>
      </w:pP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u w:val="single"/>
          <w:rtl w:val="true"/>
        </w:rPr>
        <w:t>ביבליוגרפיה</w:t>
      </w:r>
    </w:p>
    <w:p>
      <w:pPr>
        <w:pStyle w:val="Philosophy"/>
        <w:bidi w:val="1"/>
        <w:ind w:left="0" w:right="0" w:hanging="0"/>
        <w:jc w:val="center"/>
        <w:rPr>
          <w:b w:val="false"/>
          <w:bCs w:val="false"/>
          <w:u w:val="none"/>
        </w:rPr>
      </w:pP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רנה דקארט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הגיונות על הפילוסופיה הראשונית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תרגום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דורי מנור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תל אביב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משכל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ה’תשס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 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>2001</w:t>
      </w:r>
    </w:p>
    <w:p>
      <w:pPr>
        <w:pStyle w:val="Footnote"/>
        <w:bidi w:val="0"/>
        <w:ind w:left="340" w:right="0" w:hanging="0"/>
        <w:jc w:val="center"/>
        <w:rPr>
          <w:i w:val="false"/>
          <w:i w:val="false"/>
          <w:iCs w:val="false"/>
          <w:sz w:val="24"/>
          <w:szCs w:val="24"/>
        </w:rPr>
      </w:pPr>
      <w:r>
        <w:rPr/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50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רנה דקארט</w:t>
      </w:r>
      <w:r>
        <w:rPr>
          <w:rtl w:val="true"/>
        </w:rPr>
        <w:t xml:space="preserve">, </w:t>
      </w:r>
      <w:r>
        <w:rPr>
          <w:rtl w:val="true"/>
        </w:rPr>
        <w:t>הגיונות</w:t>
      </w:r>
      <w:r>
        <w:rPr>
          <w:rtl w:val="true"/>
        </w:rPr>
        <w:t xml:space="preserve">: </w:t>
      </w:r>
      <w:r>
        <w:rPr>
          <w:rtl w:val="true"/>
        </w:rPr>
        <w:t>על הפילוסופיה הראשונית</w:t>
      </w:r>
      <w:r>
        <w:rPr>
          <w:rtl w:val="true"/>
        </w:rPr>
        <w:t xml:space="preserve">. </w:t>
      </w:r>
      <w:r>
        <w:rPr>
          <w:rtl w:val="true"/>
        </w:rPr>
        <w:t xml:space="preserve">ת’ דורי מנור </w:t>
      </w:r>
      <w:r>
        <w:rPr>
          <w:rtl w:val="true"/>
        </w:rPr>
        <w:t>(</w:t>
      </w:r>
      <w:r>
        <w:rPr>
          <w:rtl w:val="true"/>
        </w:rPr>
        <w:t>תל אביב</w:t>
      </w:r>
      <w:r>
        <w:rPr>
          <w:rtl w:val="true"/>
        </w:rPr>
        <w:t xml:space="preserve">: </w:t>
      </w:r>
      <w:r>
        <w:rPr>
          <w:rtl w:val="true"/>
        </w:rPr>
        <w:t>משכל</w:t>
      </w:r>
      <w:r>
        <w:rPr>
          <w:rtl w:val="true"/>
        </w:rPr>
        <w:t xml:space="preserve">, </w:t>
      </w:r>
      <w:r>
        <w:rPr/>
        <w:t>2001</w:t>
      </w:r>
      <w:r>
        <w:rPr>
          <w:rtl w:val="true"/>
        </w:rPr>
        <w:t xml:space="preserve">), </w:t>
      </w:r>
      <w:r>
        <w:rPr>
          <w:rtl w:val="true"/>
        </w:rPr>
        <w:t xml:space="preserve">עמ’ </w:t>
      </w:r>
      <w:r>
        <w:rPr/>
        <w:t>16</w:t>
      </w:r>
    </w:p>
  </w:footnote>
  <w:footnote w:id="3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, </w:t>
      </w:r>
      <w:r>
        <w:rPr>
          <w:rtl w:val="true"/>
        </w:rPr>
        <w:t xml:space="preserve">עמ’ </w:t>
      </w:r>
      <w:r>
        <w:rPr/>
        <w:t>21</w:t>
      </w:r>
    </w:p>
  </w:footnote>
  <w:footnote w:id="4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, </w:t>
      </w:r>
      <w:r>
        <w:rPr>
          <w:rtl w:val="true"/>
        </w:rPr>
        <w:t xml:space="preserve">עמ’ </w:t>
      </w:r>
      <w:r>
        <w:rPr/>
        <w:t>23-24</w:t>
      </w:r>
    </w:p>
  </w:footnote>
  <w:footnote w:id="5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, </w:t>
      </w:r>
      <w:r>
        <w:rPr>
          <w:rtl w:val="true"/>
        </w:rPr>
        <w:t xml:space="preserve">עמ’ </w:t>
      </w:r>
      <w:r>
        <w:rPr/>
        <w:t>26</w:t>
      </w:r>
    </w:p>
  </w:footnote>
  <w:footnote w:id="6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, </w:t>
      </w:r>
      <w:r>
        <w:rPr>
          <w:rtl w:val="true"/>
        </w:rPr>
        <w:t xml:space="preserve">עמ’ </w:t>
      </w:r>
      <w:r>
        <w:rPr/>
        <w:t>77</w:t>
      </w:r>
      <w:r>
        <w:rPr>
          <w:rtl w:val="true"/>
        </w:rPr>
        <w:t xml:space="preserve">, </w:t>
      </w:r>
      <w:r>
        <w:rPr>
          <w:rtl w:val="true"/>
        </w:rPr>
        <w:t>הדגשה שלי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cs="David CLM"/>
        <w:b/>
        <w:bCs/>
        <w:sz w:val="20"/>
        <w:szCs w:val="20"/>
      </w:rPr>
    </w:pPr>
    <w:r>
      <w:rPr>
        <w:rFonts w:cs="David CLM"/>
        <w:b/>
        <w:b/>
        <w:bCs/>
        <w:sz w:val="20"/>
        <w:sz w:val="20"/>
        <w:szCs w:val="20"/>
        <w:rtl w:val="true"/>
      </w:rPr>
      <w:t xml:space="preserve">מתן הורוביץ </w:t>
    </w:r>
    <w:r>
      <w:rPr>
        <w:rFonts w:cs="David CLM"/>
        <w:b/>
        <w:bCs/>
        <w:sz w:val="20"/>
        <w:szCs w:val="20"/>
      </w:rPr>
      <w:t>207130253</w:t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1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oto Serif CJK SC" w:cs="Liberation Serif"/>
      <w:b/>
      <w:bCs/>
      <w:sz w:val="48"/>
      <w:szCs w:val="4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3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3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rFonts w:ascii="Times New Roman" w:hAnsi="Times New Roman"/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182</TotalTime>
  <Application>LibreOffice/7.5.5.2$Linux_X86_64 LibreOffice_project/50$Build-2</Application>
  <AppVersion>15.0000</AppVersion>
  <Pages>2</Pages>
  <Words>249</Words>
  <Characters>1161</Characters>
  <CharactersWithSpaces>1408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2024-01-05T13:11:25Z</dcterms:created>
  <dc:creator/>
  <dc:description/>
  <dc:language>he-IL</dc:language>
  <cp:lastModifiedBy/>
  <dcterms:modified xsi:type="dcterms:W3CDTF">2024-01-21T10:19:17Z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