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רנה דקארט וברוך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שניים מההוגים הגדולים של העת החדשה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מבקשים לעשות את שעשה אריסטו ב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מטאפיזיקה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לתת תשובה לשאלה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מה זה להיות</w:t>
      </w:r>
      <w:r>
        <w:rPr>
          <w:rStyle w:val="FootnoteAnchor"/>
          <w:b w:val="false"/>
          <w:b w:val="false"/>
          <w:bCs w:val="false"/>
          <w:i/>
          <w:i/>
          <w:iCs/>
          <w:u w:val="none"/>
          <w:rtl w:val="true"/>
        </w:rPr>
        <w:footnoteReference w:id="2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אריסטו ביסס את ההוויה סביב מושג ה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עצם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Cs w:val="false"/>
          <w:i w:val="false"/>
          <w:iCs w:val="false"/>
          <w:u w:val="none"/>
          <w:rtl w:val="true"/>
        </w:rPr>
        <w:t>(</w:t>
      </w:r>
      <w:r>
        <w:rPr>
          <w:b w:val="false"/>
          <w:bCs w:val="false"/>
          <w:i w:val="false"/>
          <w:iCs w:val="false"/>
          <w:u w:val="none"/>
          <w:lang w:val="grc-GR"/>
        </w:rPr>
        <w:t>οὐσία</w:t>
      </w:r>
      <w:r>
        <w:rPr>
          <w:b w:val="false"/>
          <w:bCs w:val="false"/>
          <w:i w:val="false"/>
          <w:iCs w:val="false"/>
          <w:u w:val="none"/>
          <w:rtl w:val="true"/>
          <w:lang w:val="grc-GR"/>
        </w:rPr>
        <w:t>)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 –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דבר עצמאי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קבוע ומהותי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השורד את כל השינויים ונשאר הוא עצמו</w:t>
      </w:r>
      <w:r>
        <w:rPr>
          <w:rStyle w:val="FootnoteAnchor"/>
          <w:b w:val="false"/>
          <w:b w:val="false"/>
          <w:bCs w:val="false"/>
          <w:i/>
          <w:i/>
          <w:iCs/>
          <w:u w:val="none"/>
          <w:rtl w:val="true"/>
        </w:rPr>
        <w:footnoteReference w:id="3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הן דקארט והן שפינוזה מקבלים עליהם את ההגדרה הבסיסית הזו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דקארט מבין אותה כ</w:t>
      </w:r>
      <w:r>
        <w:rPr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רק דבר 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[...]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שאין הוא זקוק אלא לעצמו כדי להתקיים</w:t>
      </w:r>
      <w:r>
        <w:rPr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rStyle w:val="FootnoteAnchor"/>
          <w:b w:val="false"/>
          <w:bCs w:val="false"/>
          <w:i w:val="false"/>
          <w:iCs w:val="false"/>
          <w:u w:val="none"/>
          <w:rtl w:val="true"/>
        </w:rPr>
        <w:footnoteReference w:id="4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ושפינוזה מבין אותה כ</w:t>
      </w:r>
      <w:r>
        <w:rPr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מה שמושגו אינו זקוק למושג של דבר אחר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שמתוכו הוא צריך להתעצב”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footnoteReference w:id="5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אלא שהשניים חלוקים בדעתם על כסותה של ההגדרה הזו –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מה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מבין כל הדברים שיש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הוא עצם</w:t>
      </w:r>
      <w:r>
        <w:rPr>
          <w:b w:val="false"/>
          <w:bCs w:val="false"/>
          <w:i/>
          <w:iCs/>
          <w:u w:val="none"/>
          <w:rtl w:val="true"/>
        </w:rPr>
        <w:t>?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בחיבור 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אבקש להציג את המחלוקת בין ההוגים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תחילה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אציג את הגדרת העצם הקרטזיאנית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ואת כסותה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בהמשך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אציג את ביקורתו של שפינוזה כנגד הגדרה זו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לבסוף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אעמוד על ההגדרה החלופית שהלה מציע לעצם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ועל השלכותיה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rPr>
          <w:b w:val="false"/>
          <w:bCs w:val="false"/>
        </w:rPr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 w:val="false"/>
          <w:bCs w:val="false"/>
          <w:i/>
          <w:i/>
          <w:iCs/>
          <w:rtl w:val="true"/>
        </w:rPr>
        <w:t>עקרונות הפילוסופיה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טובע דקארט את מושג העצם שיוחס לו לעיל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ומציין כי 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אין דבר מלבד אלוהים שהוא כזה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rStyle w:val="FootnoteAnchor"/>
          <w:b w:val="false"/>
          <w:bCs w:val="false"/>
          <w:i w:val="false"/>
          <w:iCs w:val="false"/>
          <w:rtl w:val="true"/>
        </w:rPr>
        <w:footnoteReference w:id="6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 שבהמשך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מסייג דקארט כי 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עצם איננו חד</w:t>
      </w:r>
      <w:r>
        <w:rPr>
          <w:b w:val="false"/>
          <w:bCs w:val="false"/>
          <w:i w:val="false"/>
          <w:iCs w:val="false"/>
          <w:rtl w:val="true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משמעי לגבי אלוהים והברואים</w:t>
      </w:r>
      <w:r>
        <w:rPr>
          <w:b w:val="false"/>
          <w:bCs w:val="false"/>
          <w:i w:val="false"/>
          <w:iCs w:val="false"/>
          <w:rtl w:val="true"/>
        </w:rPr>
        <w:t>"</w:t>
      </w:r>
      <w:r>
        <w:rPr>
          <w:rStyle w:val="FootnoteAnchor"/>
          <w:b w:val="false"/>
          <w:bCs w:val="false"/>
          <w:i w:val="false"/>
          <w:iCs w:val="false"/>
          <w:rtl w:val="true"/>
        </w:rPr>
        <w:footnoteReference w:id="7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כאן דקארט מחלק את הגדרת העצם לשניים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האחת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המצייתת לחלוטין להגדרה האריסטותלית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אשר כסותה היא האל בלבד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והשנייה – המאפשרת תלות באלוהים גרידא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rtl w:val="true"/>
        </w:rPr>
        <w:footnoteReference w:id="8"/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האחת היא הגדרת העצם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והשנייה – העצם הנברא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בקרב אותם נבראים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מבחין דקארט בין שני סוגי עצמים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נבדלים לחלוטין – עצמים </w:t>
      </w:r>
      <w:r>
        <w:rPr>
          <w:b w:val="false"/>
          <w:b w:val="false"/>
          <w:bCs w:val="false"/>
          <w:i/>
          <w:i/>
          <w:iCs/>
          <w:rtl w:val="true"/>
        </w:rPr>
        <w:t>חושבים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ועצמים </w:t>
      </w:r>
      <w:r>
        <w:rPr>
          <w:b w:val="false"/>
          <w:b w:val="false"/>
          <w:bCs w:val="false"/>
          <w:i/>
          <w:i/>
          <w:iCs/>
          <w:rtl w:val="true"/>
        </w:rPr>
        <w:t>מתפשטים</w:t>
      </w:r>
      <w:r>
        <w:rPr>
          <w:b w:val="false"/>
          <w:bCs w:val="false"/>
          <w:i/>
          <w:iCs/>
          <w:rtl w:val="true"/>
        </w:rPr>
        <w:t>.</w:t>
      </w:r>
    </w:p>
    <w:p>
      <w:pPr>
        <w:pStyle w:val="Philosophy"/>
        <w:rPr>
          <w:b w:val="false"/>
          <w:bCs w:val="false"/>
        </w:rPr>
      </w:pPr>
      <w:r>
        <w:rPr>
          <w:b w:val="false"/>
          <w:bCs w:val="false"/>
          <w:i/>
          <w:iCs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להבחנה זו מגיע דקארט מבחינת עצמו ממש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בעודו מהרהר איזה מן דבר הוא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דקארט קובע כי הוא מורכב מהגוף – דבר בעל צורה ומיקום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התופס נפח בלעדי במרחב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rtl w:val="true"/>
        </w:rPr>
        <w:footnoteReference w:id="9"/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ומן הנפש – שבכוחו עלה לייחס לה רק את המחשבה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rtl w:val="true"/>
        </w:rPr>
        <w:footnoteReference w:id="10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הדברים החומריים בעולם הם עצמים מתפשטים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אך העצם החושב נוכח רק כנפש האדם – והשילוב ביניהם הוא זה שהופך אותנו לאנושיים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בהפרדה זו בין העצמים החושבים למתפשטים מבקש דקארט להסביר את הריבוי שאנו חווים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ישנם דברים חומריים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וישנם דברים נפשיים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ומארג המציאות כולו נע סביב קשרי הגומלין ביניהם – כאשר אלו כולם תלויים בעצם המוחלט היחיד – האל – הערב לקיומם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rPr/>
      </w:pPr>
      <w:r>
        <w:rPr>
          <w:rtl w:val="true"/>
        </w:rPr>
        <w:tab/>
      </w:r>
      <w:r>
        <w:rPr>
          <w:rtl w:val="true"/>
        </w:rPr>
        <w:t>לעומתו</w:t>
      </w:r>
      <w:r>
        <w:rPr>
          <w:rtl w:val="true"/>
        </w:rPr>
        <w:t xml:space="preserve">, </w:t>
      </w:r>
      <w:r>
        <w:rPr>
          <w:rtl w:val="true"/>
        </w:rPr>
        <w:t>שפינוזה דוחה מעליו לחלוטין את חלוקת הגדרת העצם</w:t>
      </w:r>
      <w:r>
        <w:rPr>
          <w:rtl w:val="true"/>
        </w:rPr>
        <w:t xml:space="preserve">. </w:t>
      </w:r>
      <w:r>
        <w:rPr>
          <w:rtl w:val="true"/>
        </w:rPr>
        <w:t>אכן</w:t>
      </w:r>
      <w:r>
        <w:rPr>
          <w:rtl w:val="true"/>
        </w:rPr>
        <w:t xml:space="preserve">, </w:t>
      </w:r>
      <w:r>
        <w:rPr>
          <w:rtl w:val="true"/>
        </w:rPr>
        <w:t>טוען שפינוזה</w:t>
      </w:r>
      <w:r>
        <w:rPr>
          <w:rtl w:val="true"/>
        </w:rPr>
        <w:t xml:space="preserve">, </w:t>
      </w:r>
      <w:r>
        <w:rPr>
          <w:rtl w:val="true"/>
        </w:rPr>
        <w:t>רק אלוהים הוא דבר עצמאי לחלוטין</w:t>
      </w:r>
      <w:r>
        <w:rPr>
          <w:rtl w:val="true"/>
        </w:rPr>
        <w:t xml:space="preserve">, </w:t>
      </w:r>
      <w:r>
        <w:rPr>
          <w:rtl w:val="true"/>
        </w:rPr>
        <w:t>שאינו תלוי באחר לקיומו ולתפיסתו – אך היכן שדקארט מסייג את ההגדרה לעצמים ברואים</w:t>
      </w:r>
      <w:r>
        <w:rPr>
          <w:rtl w:val="true"/>
        </w:rPr>
        <w:t xml:space="preserve">, </w:t>
      </w:r>
      <w:r>
        <w:rPr>
          <w:rtl w:val="true"/>
        </w:rPr>
        <w:t xml:space="preserve">שפינוזה קובע כי </w:t>
      </w:r>
      <w:r>
        <w:rPr>
          <w:rtl w:val="true"/>
        </w:rPr>
        <w:t>"</w:t>
      </w:r>
      <w:r>
        <w:rPr>
          <w:rtl w:val="true"/>
        </w:rPr>
        <w:t>חוץ מאלוהים שום עצם אינו יכול להימצא ואינו יכול להיות מושג</w:t>
      </w:r>
      <w:r>
        <w:rPr>
          <w:rStyle w:val="FootnoteAnchor"/>
          <w:rtl w:val="true"/>
        </w:rPr>
        <w:footnoteReference w:id="11"/>
      </w:r>
      <w:r>
        <w:rPr>
          <w:rtl w:val="true"/>
        </w:rPr>
        <w:t xml:space="preserve">". </w:t>
      </w:r>
      <w:r>
        <w:rPr>
          <w:rtl w:val="true"/>
        </w:rPr>
        <w:t>משמע</w:t>
      </w:r>
      <w:r>
        <w:rPr>
          <w:rtl w:val="true"/>
        </w:rPr>
        <w:t xml:space="preserve">, </w:t>
      </w:r>
      <w:r>
        <w:rPr>
          <w:rtl w:val="true"/>
        </w:rPr>
        <w:t>ישנו עצם אחד ויחיד</w:t>
      </w:r>
      <w:r>
        <w:rPr>
          <w:rtl w:val="true"/>
        </w:rPr>
        <w:t xml:space="preserve">, </w:t>
      </w:r>
      <w:r>
        <w:rPr>
          <w:rtl w:val="true"/>
        </w:rPr>
        <w:t>שכסותו מוחלטת</w:t>
      </w:r>
      <w:r>
        <w:rPr>
          <w:rtl w:val="true"/>
        </w:rPr>
        <w:t xml:space="preserve">: </w:t>
      </w:r>
      <w:r>
        <w:rPr>
          <w:rtl w:val="true"/>
        </w:rPr>
        <w:t>שפינוזה מזהה זיהוי מוחלט בין האל למציאות</w:t>
      </w:r>
      <w:r>
        <w:rPr>
          <w:rtl w:val="true"/>
        </w:rPr>
        <w:t xml:space="preserve">. </w:t>
      </w:r>
      <w:r>
        <w:rPr>
          <w:rtl w:val="true"/>
        </w:rPr>
        <w:t>כיצד</w:t>
      </w:r>
      <w:r>
        <w:rPr>
          <w:rtl w:val="true"/>
        </w:rPr>
        <w:t xml:space="preserve">, </w:t>
      </w:r>
      <w:r>
        <w:rPr>
          <w:rtl w:val="true"/>
        </w:rPr>
        <w:t>אפוא</w:t>
      </w:r>
      <w:r>
        <w:rPr>
          <w:rtl w:val="true"/>
        </w:rPr>
        <w:t xml:space="preserve">, </w:t>
      </w:r>
      <w:r>
        <w:rPr>
          <w:rtl w:val="true"/>
        </w:rPr>
        <w:t>עולה בכוחו להסביר את הריבוי שאנו חווים בעולם</w:t>
      </w:r>
      <w:r>
        <w:rPr>
          <w:rtl w:val="true"/>
        </w:rPr>
        <w:t>?</w:t>
      </w:r>
    </w:p>
    <w:p>
      <w:pPr>
        <w:pStyle w:val="Philosophy"/>
        <w:rPr/>
      </w:pPr>
      <w:r>
        <w:rPr>
          <w:b w:val="false"/>
          <w:bCs w:val="false"/>
          <w:i w:val="false"/>
          <w:iCs w:val="false"/>
          <w:u w:val="non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את תפיסת הריבוי שלנו מייחס שפינוזה ל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תואר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</w:t>
      </w:r>
      <w:r>
        <w:rPr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מה שהשכל תופס על אודות העצם בתור מה שמכונן את מהותו</w:t>
      </w:r>
      <w:r>
        <w:rPr>
          <w:b w:val="false"/>
          <w:bCs w:val="false"/>
          <w:i w:val="false"/>
          <w:iCs w:val="false"/>
          <w:u w:val="none"/>
          <w:rtl w:val="true"/>
        </w:rPr>
        <w:t>"</w:t>
      </w:r>
      <w:r>
        <w:rPr>
          <w:rStyle w:val="FootnoteAnchor"/>
          <w:b w:val="false"/>
          <w:bCs w:val="false"/>
          <w:i w:val="false"/>
          <w:iCs w:val="false"/>
          <w:u w:val="none"/>
          <w:rtl w:val="true"/>
        </w:rPr>
        <w:footnoteReference w:id="12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כלומר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הריבוי שעומד עליו דקארט – הדברים המתפשטים והדברים החושבים – אינם אלא תפיסה מוגבלת של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ביטוי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אח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ד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מאינספור של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מהות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העצם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תפיסת המחשבה היא תואר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ותפיסת החומר היא תואר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ושניהם אינם אלא מושא תפיסה המצביע על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ביטוי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מסוי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ם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של העצם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כל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ביטוי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שכז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ה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אופן –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“מה שנמצא בתוך דבר אחר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שבאמצעותו הוא גם מושג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".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המחשבה וההתפשטות שתיהן תארים של האלוהים</w:t>
      </w:r>
      <w:r>
        <w:rPr>
          <w:rStyle w:val="FootnoteAnchor"/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footnoteReference w:id="13"/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המצביעים לשתי נקודות מבט מסוימות – שתי אופנים – של העצם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המחשבה וההתפשטות אינן אלא תארים המצביעים על אופן חושב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ואופן מתפשט 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אינם זוכים למעמד עצמאי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הם מושאי מחשבה המצביעים על הפעלות מסוימות של האל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rPr/>
      </w:pPr>
      <w:r>
        <w:rPr>
          <w:rtl w:val="true"/>
        </w:rPr>
        <w:tab/>
      </w:r>
      <w:r>
        <w:rPr>
          <w:rtl w:val="true"/>
        </w:rPr>
        <w:t>כל הפעלה כזו</w:t>
      </w:r>
      <w:r>
        <w:rPr>
          <w:rtl w:val="true"/>
        </w:rPr>
        <w:t>,</w:t>
      </w:r>
      <w:r>
        <w:rPr>
          <w:rtl w:val="true"/>
        </w:rPr>
        <w:t>כאמור</w:t>
      </w:r>
      <w:r>
        <w:rPr>
          <w:rtl w:val="true"/>
        </w:rPr>
        <w:t xml:space="preserve">, </w:t>
      </w:r>
      <w:r>
        <w:rPr>
          <w:rtl w:val="true"/>
        </w:rPr>
        <w:t>היא אופן אותו אנו תופסים באמצעות התואר</w:t>
      </w:r>
      <w:r>
        <w:rPr>
          <w:rtl w:val="true"/>
        </w:rPr>
        <w:t xml:space="preserve">. </w:t>
      </w:r>
      <w:r>
        <w:rPr>
          <w:rtl w:val="true"/>
        </w:rPr>
        <w:t>אלא ששפינוזה מאפשר לנו שני תארים בלבד</w:t>
      </w:r>
      <w:r>
        <w:rPr>
          <w:rtl w:val="true"/>
        </w:rPr>
        <w:t xml:space="preserve">: </w:t>
      </w:r>
      <w:r>
        <w:rPr>
          <w:rtl w:val="true"/>
        </w:rPr>
        <w:t>תואר חושב</w:t>
      </w:r>
      <w:r>
        <w:rPr>
          <w:rtl w:val="true"/>
        </w:rPr>
        <w:t xml:space="preserve">, </w:t>
      </w:r>
      <w:r>
        <w:rPr>
          <w:rtl w:val="true"/>
        </w:rPr>
        <w:t>ותואר מתפשט</w:t>
      </w:r>
      <w:r>
        <w:rPr>
          <w:rtl w:val="true"/>
        </w:rPr>
        <w:t xml:space="preserve">. </w:t>
      </w:r>
      <w:r>
        <w:rPr>
          <w:rtl w:val="true"/>
        </w:rPr>
        <w:t>זאת</w:t>
      </w:r>
      <w:r>
        <w:rPr>
          <w:rtl w:val="true"/>
        </w:rPr>
        <w:t xml:space="preserve">, </w:t>
      </w:r>
      <w:r>
        <w:rPr>
          <w:rtl w:val="true"/>
        </w:rPr>
        <w:t>הוא קובע</w:t>
      </w:r>
      <w:r>
        <w:rPr>
          <w:rtl w:val="true"/>
        </w:rPr>
        <w:t xml:space="preserve">, </w:t>
      </w:r>
      <w:r>
        <w:rPr>
          <w:rtl w:val="true"/>
        </w:rPr>
        <w:t>לא משום שישנו בסיס אפיסטמי כלשהו לקבוע כי אלו הדברים שישנם – אלא משום שאלו בלבד מושאי המחשבה שבכוחנו לתפוס</w:t>
      </w:r>
      <w:r>
        <w:rPr>
          <w:rtl w:val="true"/>
        </w:rPr>
        <w:t xml:space="preserve">, </w:t>
      </w:r>
      <w:r>
        <w:rPr>
          <w:rtl w:val="true"/>
        </w:rPr>
        <w:t>כבני אדם</w:t>
      </w:r>
      <w:r>
        <w:rPr>
          <w:rtl w:val="true"/>
        </w:rPr>
        <w:t xml:space="preserve">: </w:t>
      </w:r>
      <w:r>
        <w:rPr>
          <w:rtl w:val="true"/>
        </w:rPr>
        <w:t xml:space="preserve">איננו יכולים לחשוב על דבר שאינו חושב </w:t>
      </w:r>
      <w:r>
        <w:rPr>
          <w:rtl w:val="true"/>
        </w:rPr>
        <w:t>ו</w:t>
      </w:r>
      <w:r>
        <w:rPr>
          <w:rtl w:val="true"/>
        </w:rPr>
        <w:t>שאינו מתפשט</w:t>
      </w:r>
      <w:r>
        <w:rPr>
          <w:rtl w:val="true"/>
        </w:rPr>
        <w:t xml:space="preserve">. </w:t>
      </w:r>
      <w:r>
        <w:rPr>
          <w:rtl w:val="true"/>
        </w:rPr>
        <w:t>לאור הגבלה זו מציג שפינוזה את שני אופנים אלו בלבד</w:t>
      </w:r>
      <w:r>
        <w:rPr>
          <w:rtl w:val="true"/>
        </w:rPr>
        <w:t xml:space="preserve">, </w:t>
      </w:r>
      <w:r>
        <w:rPr>
          <w:rtl w:val="true"/>
        </w:rPr>
        <w:t>אך למעשה</w:t>
      </w:r>
      <w:r>
        <w:rPr>
          <w:rtl w:val="true"/>
        </w:rPr>
        <w:t xml:space="preserve">, </w:t>
      </w:r>
      <w:r>
        <w:rPr>
          <w:rtl w:val="true"/>
        </w:rPr>
        <w:t>כל מושא מחשבה שכזה – בין שבכוחנו לתפוס אותו ובין שלא – מצביע על תואר כלשהו</w:t>
      </w:r>
      <w:r>
        <w:rPr>
          <w:rtl w:val="true"/>
        </w:rPr>
        <w:t xml:space="preserve">. </w:t>
      </w:r>
      <w:r>
        <w:rPr>
          <w:rtl w:val="true"/>
        </w:rPr>
        <w:t>היות והאל</w:t>
      </w:r>
      <w:r>
        <w:rPr>
          <w:rtl w:val="true"/>
        </w:rPr>
        <w:t xml:space="preserve">, </w:t>
      </w:r>
      <w:r>
        <w:rPr>
          <w:rtl w:val="true"/>
        </w:rPr>
        <w:t>כעצם היחיד והמוחלט</w:t>
      </w:r>
      <w:r>
        <w:rPr>
          <w:rtl w:val="true"/>
        </w:rPr>
        <w:t xml:space="preserve">, </w:t>
      </w:r>
      <w:r>
        <w:rPr>
          <w:rtl w:val="true"/>
        </w:rPr>
        <w:t>טומן בחובו שכל אינסופי</w:t>
      </w:r>
      <w:r>
        <w:rPr>
          <w:rtl w:val="true"/>
        </w:rPr>
        <w:t xml:space="preserve">, </w:t>
      </w:r>
      <w:r>
        <w:rPr>
          <w:rtl w:val="true"/>
        </w:rPr>
        <w:t>הרי שיכולים להיות אינספור אופנים כאלו</w:t>
      </w:r>
      <w:r>
        <w:rPr>
          <w:rtl w:val="true"/>
        </w:rPr>
        <w:t xml:space="preserve">, </w:t>
      </w:r>
      <w:r>
        <w:rPr>
          <w:rtl w:val="true"/>
        </w:rPr>
        <w:t>שנתפסים באינספור תארים כאלו</w:t>
      </w:r>
      <w:r>
        <w:rPr>
          <w:rtl w:val="true"/>
        </w:rPr>
        <w:t xml:space="preserve">, </w:t>
      </w:r>
      <w:r>
        <w:rPr>
          <w:rtl w:val="true"/>
        </w:rPr>
        <w:t>על ידי אותו השכל האינסופי</w:t>
      </w:r>
      <w:r>
        <w:rPr>
          <w:rStyle w:val="FootnoteAnchor"/>
          <w:rtl w:val="true"/>
        </w:rPr>
        <w:footnoteReference w:id="14"/>
      </w:r>
      <w:r>
        <w:rPr>
          <w:rtl w:val="true"/>
        </w:rPr>
        <w:t>.</w:t>
      </w:r>
    </w:p>
    <w:p>
      <w:pPr>
        <w:pStyle w:val="Philosophy"/>
        <w:ind w:left="0" w:right="0" w:hanging="0"/>
        <w:rPr/>
      </w:pPr>
      <w:r>
        <w:rPr>
          <w:rtl w:val="true"/>
        </w:rPr>
        <w:tab/>
      </w:r>
      <w:r>
        <w:rPr>
          <w:rtl w:val="true"/>
        </w:rPr>
        <w:t>ההשלכות של תפיסתו של שפינוזה מרחיקות לכת</w:t>
      </w:r>
      <w:r>
        <w:rPr>
          <w:rtl w:val="true"/>
        </w:rPr>
        <w:t xml:space="preserve">. </w:t>
      </w:r>
      <w:r>
        <w:rPr>
          <w:rtl w:val="true"/>
        </w:rPr>
        <w:t>משום שמייחס את הריבוי לאופנים של אותו העצם ממש</w:t>
      </w:r>
      <w:r>
        <w:rPr>
          <w:rtl w:val="true"/>
        </w:rPr>
        <w:t xml:space="preserve">, </w:t>
      </w:r>
      <w:r>
        <w:rPr>
          <w:rtl w:val="true"/>
        </w:rPr>
        <w:t>ולא לעצמים שונים</w:t>
      </w:r>
      <w:r>
        <w:rPr>
          <w:rtl w:val="true"/>
        </w:rPr>
        <w:t xml:space="preserve">, </w:t>
      </w:r>
      <w:r>
        <w:rPr>
          <w:rtl w:val="true"/>
        </w:rPr>
        <w:t>שפינוזה אינו נדרש לבעיית הגוף</w:t>
      </w:r>
      <w:r>
        <w:rPr>
          <w:rtl w:val="true"/>
        </w:rPr>
        <w:t>-</w:t>
      </w:r>
      <w:r>
        <w:rPr>
          <w:rtl w:val="true"/>
        </w:rPr>
        <w:t>נפש הקרטזיאנית</w:t>
      </w:r>
      <w:r>
        <w:rPr>
          <w:rtl w:val="true"/>
        </w:rPr>
        <w:t xml:space="preserve">: </w:t>
      </w:r>
      <w:r>
        <w:rPr>
          <w:rtl w:val="true"/>
        </w:rPr>
        <w:t>כיצד ייתכן ששני יסודות שונים במהותם</w:t>
      </w:r>
      <w:r>
        <w:rPr>
          <w:rtl w:val="true"/>
        </w:rPr>
        <w:t xml:space="preserve">, </w:t>
      </w:r>
      <w:r>
        <w:rPr>
          <w:rtl w:val="true"/>
        </w:rPr>
        <w:t>חומר ורוח</w:t>
      </w:r>
      <w:r>
        <w:rPr>
          <w:rtl w:val="true"/>
        </w:rPr>
        <w:t xml:space="preserve">, </w:t>
      </w:r>
      <w:r>
        <w:rPr>
          <w:rtl w:val="true"/>
        </w:rPr>
        <w:t>משתלבים ופועלים יחדיו</w:t>
      </w:r>
      <w:r>
        <w:rPr>
          <w:rtl w:val="true"/>
        </w:rPr>
        <w:t xml:space="preserve">? </w:t>
      </w:r>
      <w:r>
        <w:rPr>
          <w:rtl w:val="true"/>
        </w:rPr>
        <w:t>דקארט נדרש להסבר</w:t>
      </w:r>
      <w:r>
        <w:rPr>
          <w:rtl w:val="true"/>
        </w:rPr>
        <w:t xml:space="preserve">, </w:t>
      </w:r>
      <w:r>
        <w:rPr>
          <w:rtl w:val="true"/>
        </w:rPr>
        <w:t>שנדמה שאין בכוחו לספק</w:t>
      </w:r>
      <w:r>
        <w:rPr>
          <w:rtl w:val="true"/>
        </w:rPr>
        <w:t xml:space="preserve">; </w:t>
      </w:r>
      <w:r>
        <w:rPr>
          <w:rtl w:val="true"/>
        </w:rPr>
        <w:t>שפינוזה ייטען כי אין אלו יסודות שונים כלל</w:t>
      </w:r>
      <w:r>
        <w:rPr>
          <w:rtl w:val="true"/>
        </w:rPr>
        <w:t xml:space="preserve">, </w:t>
      </w:r>
      <w:r>
        <w:rPr>
          <w:rtl w:val="true"/>
        </w:rPr>
        <w:t>אלא שני היבטים של אותו הדבר ממש</w:t>
      </w:r>
      <w:r>
        <w:rPr>
          <w:rtl w:val="true"/>
        </w:rPr>
        <w:t xml:space="preserve">. </w:t>
      </w:r>
      <w:r>
        <w:rPr>
          <w:rtl w:val="true"/>
        </w:rPr>
        <w:t>שפינוזה אינו נדרש באותו האופן גם לבעיית הרצון החופשי</w:t>
      </w:r>
      <w:r>
        <w:rPr>
          <w:rtl w:val="true"/>
        </w:rPr>
        <w:t xml:space="preserve">: </w:t>
      </w:r>
      <w:r>
        <w:rPr>
          <w:rtl w:val="true"/>
        </w:rPr>
        <w:t>האם האל</w:t>
      </w:r>
      <w:r>
        <w:rPr>
          <w:rtl w:val="true"/>
        </w:rPr>
        <w:t xml:space="preserve">, </w:t>
      </w:r>
      <w:r>
        <w:rPr>
          <w:rtl w:val="true"/>
        </w:rPr>
        <w:t>הערב למציאות</w:t>
      </w:r>
      <w:r>
        <w:rPr>
          <w:rtl w:val="true"/>
        </w:rPr>
        <w:t xml:space="preserve">, </w:t>
      </w:r>
      <w:r>
        <w:rPr>
          <w:rtl w:val="true"/>
        </w:rPr>
        <w:t>מאפשר לנו בחירה</w:t>
      </w:r>
      <w:r>
        <w:rPr>
          <w:rtl w:val="true"/>
        </w:rPr>
        <w:t xml:space="preserve">? </w:t>
      </w:r>
      <w:r>
        <w:rPr>
          <w:rtl w:val="true"/>
        </w:rPr>
        <w:t>היכן שדקארט ייאלץ לתת הסבר חיצוני לשאלה זו</w:t>
      </w:r>
      <w:r>
        <w:rPr>
          <w:rtl w:val="true"/>
        </w:rPr>
        <w:t xml:space="preserve">, </w:t>
      </w:r>
      <w:r>
        <w:rPr>
          <w:rtl w:val="true"/>
        </w:rPr>
        <w:t>שפינוזה קובע כי החופש שייך רק למה שפועל מתוך טבעו בלבד</w:t>
      </w:r>
      <w:r>
        <w:rPr>
          <w:rStyle w:val="FootnoteAnchor"/>
          <w:rtl w:val="true"/>
        </w:rPr>
        <w:footnoteReference w:id="15"/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זכות השמורה רק לאל</w:t>
      </w:r>
      <w:r>
        <w:rPr>
          <w:rtl w:val="true"/>
        </w:rPr>
        <w:t xml:space="preserve">. </w:t>
      </w:r>
      <w:r>
        <w:rPr>
          <w:rtl w:val="true"/>
        </w:rPr>
        <w:t>באשר לכל השאר</w:t>
      </w:r>
      <w:r>
        <w:rPr>
          <w:rtl w:val="true"/>
        </w:rPr>
        <w:t xml:space="preserve">, </w:t>
      </w:r>
      <w:r>
        <w:rPr>
          <w:rtl w:val="true"/>
        </w:rPr>
        <w:t>אלו כפופים רק לטבע זה</w:t>
      </w:r>
      <w:r>
        <w:rPr>
          <w:rtl w:val="true"/>
        </w:rPr>
        <w:t xml:space="preserve">, </w:t>
      </w:r>
      <w:r>
        <w:rPr>
          <w:rtl w:val="true"/>
        </w:rPr>
        <w:t>ולא לשום מקריות</w:t>
      </w:r>
      <w:r>
        <w:rPr>
          <w:rStyle w:val="FootnoteAnchor"/>
          <w:rtl w:val="true"/>
        </w:rPr>
        <w:footnoteReference w:id="16"/>
      </w:r>
      <w:r>
        <w:rPr>
          <w:rtl w:val="true"/>
        </w:rPr>
        <w:t xml:space="preserve"> – וכך שולל מאיתנו חופש זה</w:t>
      </w:r>
      <w:r>
        <w:rPr>
          <w:rtl w:val="true"/>
        </w:rPr>
        <w:t>.</w:t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jc w:val="center"/>
        <w:rPr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Philosophy"/>
        <w:jc w:val="center"/>
        <w:rPr/>
      </w:pP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ברוך שפינוזה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אתיקה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ירמיהו יובל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הקיבוץ המאוחד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Cs w:val="false"/>
          <w:i w:val="false"/>
          <w:iCs w:val="false"/>
          <w:u w:val="none"/>
        </w:rPr>
        <w:t>2003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Normal"/>
        <w:spacing w:lineRule="auto" w:line="360"/>
        <w:jc w:val="center"/>
        <w:rPr/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רנה דקארט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עקרונות הפילוסופיה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תרגום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שרה יצחקי ושלמה קרניאל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תל אביב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מפעלים אוניברסיטאיים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</w:rPr>
        <w:t>1979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Philosophy"/>
        <w:jc w:val="center"/>
        <w:rPr/>
      </w:pP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</w:rPr>
        <w:t>Sachs, Joe.</w:t>
      </w:r>
      <w:r>
        <w:rPr>
          <w:rFonts w:cs="David Libre"/>
          <w:b w:val="false"/>
          <w:bCs w:val="false"/>
          <w:i/>
          <w:iCs/>
          <w:sz w:val="24"/>
          <w:szCs w:val="24"/>
          <w:u w:val="none"/>
        </w:rPr>
        <w:t xml:space="preserve"> Aristotle’s </w:t>
      </w:r>
      <w:r>
        <w:rPr>
          <w:rFonts w:eastAsia="Noto Sans" w:cs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e-IL"/>
        </w:rPr>
        <w:t>Metaphysics – second edition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  <w:t>. Santa Fe</w:t>
      </w:r>
      <w:r>
        <w:rPr>
          <w:rFonts w:eastAsia="Noto Sans" w:cs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e-IL"/>
        </w:rPr>
        <w:t xml:space="preserve">: 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  <w:t>Green Lion Press, 1999</w:t>
      </w:r>
    </w:p>
    <w:p>
      <w:pPr>
        <w:pStyle w:val="Philosophy"/>
        <w:jc w:val="center"/>
        <w:rPr/>
      </w:pPr>
      <w:r>
        <w:rPr>
          <w:b w:val="false"/>
          <w:bCs w:val="false"/>
          <w:i w:val="false"/>
          <w:iCs w:val="false"/>
          <w:sz w:val="24"/>
          <w:szCs w:val="24"/>
          <w:u w:val="none"/>
        </w:rPr>
        <w:t>René Descartes, “Meditations on First Philosophy”</w:t>
      </w:r>
      <w:r>
        <w:rPr>
          <w:b w:val="false"/>
          <w:bCs w:val="false"/>
          <w:i/>
          <w:iCs/>
          <w:sz w:val="24"/>
          <w:szCs w:val="24"/>
          <w:u w:val="none"/>
        </w:rPr>
        <w:t>.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</w:t>
      </w:r>
      <w:bookmarkStart w:id="0" w:name="productTitle_Copy_1_Copy_2"/>
      <w:bookmarkStart w:id="1" w:name="title_Copy_1_Copy_2"/>
      <w:bookmarkEnd w:id="0"/>
      <w:bookmarkEnd w:id="1"/>
      <w:r>
        <w:rPr>
          <w:b w:val="false"/>
          <w:bCs w:val="false"/>
          <w:i/>
          <w:iCs/>
          <w:sz w:val="24"/>
          <w:szCs w:val="24"/>
          <w:u w:val="none"/>
        </w:rPr>
        <w:t>Meditations on First Philosophy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- 3</w:t>
      </w:r>
      <w:r>
        <w:rPr>
          <w:b w:val="false"/>
          <w:bCs w:val="false"/>
          <w:i w:val="false"/>
          <w:iCs w:val="false"/>
          <w:sz w:val="24"/>
          <w:szCs w:val="24"/>
          <w:u w:val="none"/>
          <w:vertAlign w:val="superscript"/>
        </w:rPr>
        <w:t>rd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edition. Translation: Donald A. Cress. Indianapolis: Hackett Publishing Company, 1993</w:t>
      </w:r>
    </w:p>
    <w:p>
      <w:pPr>
        <w:pStyle w:val="Philosophy"/>
        <w:jc w:val="center"/>
        <w:rPr/>
      </w:pPr>
      <w:r>
        <w:rPr>
          <w:rtl w:val="true"/>
        </w:rPr>
      </w:r>
    </w:p>
    <w:p>
      <w:pPr>
        <w:pStyle w:val="Philosophy"/>
        <w:rPr>
          <w:b w:val="false"/>
          <w:bCs w:val="false"/>
          <w:u w:val="none"/>
        </w:rPr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Aristotle, “Metaphysics Gamma”. in </w:t>
      </w:r>
      <w:r>
        <w:rPr>
          <w:i/>
          <w:iCs/>
        </w:rPr>
        <w:t xml:space="preserve"> “Aristotle’s Metaphysics” – </w:t>
      </w:r>
      <w:r>
        <w:rPr>
          <w:i w:val="false"/>
          <w:iCs w:val="false"/>
        </w:rPr>
        <w:t>second edition. Tr Joe Sachs (Santa Fe: Green Lion Press, 1999), p.53, para. 1003a21</w:t>
      </w:r>
    </w:p>
  </w:footnote>
  <w:footnote w:id="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para. 1003b.</w:t>
      </w:r>
    </w:p>
  </w:footnote>
  <w:footnote w:id="4">
    <w:p>
      <w:pPr>
        <w:pStyle w:val="Footnote"/>
        <w:rPr>
          <w:rFonts w:ascii="Liberation Serif" w:hAnsi="Liberation Serif" w:eastAsia="Noto Serif CJK SC" w:cs="Liberation Serif"/>
          <w:color w:val="auto"/>
          <w:kern w:val="2"/>
          <w:sz w:val="20"/>
          <w:szCs w:val="20"/>
          <w:lang w:val="en-US" w:eastAsia="zh-CN" w:bidi="he-IL"/>
        </w:rPr>
      </w:pPr>
      <w:r>
        <w:rPr>
          <w:rStyle w:val="FootnoteCharacters"/>
        </w:rPr>
        <w:footnoteRef/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ab/>
        <w:t>רנה דקארט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 xml:space="preserve">, </w:t>
      </w:r>
      <w:r>
        <w:rPr>
          <w:rFonts w:ascii="Liberation Serif" w:hAnsi="Liberation Serif" w:eastAsia="Noto Serif CJK SC"/>
          <w:i/>
          <w:i/>
          <w:iCs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>עקרונות הפילוסופיה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 xml:space="preserve">. </w:t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 xml:space="preserve">תר’ שרה יצחקי ושלמה קרניאל 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>(</w:t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>תל אביב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 xml:space="preserve">: </w:t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>מפעלים אוניברסיטאיים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 xml:space="preserve">, </w:t>
      </w:r>
      <w:r>
        <w:rPr>
          <w:rFonts w:eastAsia="Noto Serif CJK SC" w:cs="Liberation Serif"/>
          <w:color w:val="auto"/>
          <w:kern w:val="2"/>
          <w:sz w:val="20"/>
          <w:szCs w:val="20"/>
          <w:lang w:val="en-US" w:eastAsia="zh-CN" w:bidi="he-IL"/>
        </w:rPr>
        <w:t>1979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 xml:space="preserve">), </w:t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 xml:space="preserve">סעיף </w:t>
      </w:r>
      <w:r>
        <w:rPr>
          <w:rFonts w:eastAsia="Noto Serif CJK SC" w:cs="Liberation Serif"/>
          <w:color w:val="auto"/>
          <w:kern w:val="2"/>
          <w:sz w:val="20"/>
          <w:szCs w:val="20"/>
          <w:lang w:val="en-US" w:eastAsia="zh-CN" w:bidi="he-IL"/>
        </w:rPr>
        <w:t>51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>.</w:t>
      </w:r>
    </w:p>
  </w:footnote>
  <w:footnote w:id="5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ברוך שפינוזה</w:t>
      </w:r>
      <w:r>
        <w:rPr>
          <w:rtl w:val="true"/>
        </w:rPr>
        <w:t xml:space="preserve">.,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 xml:space="preserve">תרגם ירמיהו יובל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הקיבוץ המאוחד</w:t>
      </w:r>
      <w:r>
        <w:rPr>
          <w:rtl w:val="true"/>
        </w:rPr>
        <w:t>,</w:t>
      </w:r>
      <w:r>
        <w:rPr/>
        <w:t>2003</w:t>
      </w:r>
      <w:r>
        <w:rPr>
          <w:rtl w:val="true"/>
        </w:rPr>
        <w:t xml:space="preserve">). </w:t>
      </w:r>
      <w:r>
        <w:rPr>
          <w:rtl w:val="true"/>
        </w:rPr>
        <w:t>חלק א’</w:t>
      </w:r>
      <w:r>
        <w:rPr>
          <w:rtl w:val="true"/>
        </w:rPr>
        <w:t>,</w:t>
      </w:r>
      <w:r>
        <w:rPr>
          <w:rtl w:val="true"/>
        </w:rPr>
        <w:t xml:space="preserve"> </w:t>
      </w:r>
      <w:r>
        <w:rPr>
          <w:rtl w:val="true"/>
        </w:rPr>
        <w:t xml:space="preserve">עמ’ </w:t>
      </w:r>
      <w:r>
        <w:rPr/>
        <w:t>75</w:t>
      </w:r>
      <w:r>
        <w:rPr>
          <w:rtl w:val="true"/>
        </w:rPr>
        <w:t xml:space="preserve">, </w:t>
      </w:r>
      <w:r>
        <w:rPr>
          <w:rtl w:val="true"/>
        </w:rPr>
        <w:t xml:space="preserve">הגדרה </w:t>
      </w:r>
      <w:r>
        <w:rPr/>
        <w:t>3</w:t>
      </w:r>
      <w:r>
        <w:rPr>
          <w:rtl w:val="true"/>
        </w:rPr>
        <w:t>.</w:t>
      </w:r>
    </w:p>
  </w:footnote>
  <w:footnote w:id="6">
    <w:p>
      <w:pPr>
        <w:pStyle w:val="Footnote"/>
        <w:rPr>
          <w:rFonts w:ascii="Liberation Serif" w:hAnsi="Liberation Serif" w:eastAsia="Noto Serif CJK SC" w:cs="Liberation Serif"/>
          <w:color w:val="auto"/>
          <w:kern w:val="2"/>
          <w:sz w:val="20"/>
          <w:szCs w:val="20"/>
          <w:lang w:val="en-US" w:eastAsia="zh-CN" w:bidi="he-IL"/>
        </w:rPr>
      </w:pPr>
      <w:r>
        <w:rPr>
          <w:rStyle w:val="FootnoteCharacters"/>
        </w:rPr>
        <w:footnoteRef/>
      </w:r>
      <w:r>
        <w:rPr>
          <w:rFonts w:ascii="Liberation Serif" w:hAnsi="Liberation Serif" w:eastAsia="Noto Serif CJK SC"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ab/>
        <w:t>רנה דקארט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>,</w:t>
      </w:r>
      <w:r>
        <w:rPr>
          <w:rFonts w:eastAsia="Noto Serif CJK SC" w:cs="Liberation Serif"/>
          <w:i/>
          <w:iCs/>
          <w:color w:val="auto"/>
          <w:kern w:val="2"/>
          <w:sz w:val="20"/>
          <w:szCs w:val="20"/>
          <w:rtl w:val="true"/>
          <w:lang w:val="en-US" w:eastAsia="zh-CN" w:bidi="he-IL"/>
        </w:rPr>
        <w:t xml:space="preserve"> </w:t>
      </w:r>
      <w:r>
        <w:rPr>
          <w:rFonts w:ascii="Liberation Serif" w:hAnsi="Liberation Serif" w:eastAsia="Noto Serif CJK SC"/>
          <w:i/>
          <w:i/>
          <w:iCs/>
          <w:color w:val="auto"/>
          <w:kern w:val="2"/>
          <w:sz w:val="20"/>
          <w:sz w:val="20"/>
          <w:szCs w:val="20"/>
          <w:rtl w:val="true"/>
          <w:lang w:val="en-US" w:eastAsia="zh-CN" w:bidi="he-IL"/>
        </w:rPr>
        <w:t>עקרונות הפילוסופיה</w:t>
      </w:r>
      <w:r>
        <w:rPr>
          <w:rFonts w:eastAsia="Noto Serif CJK SC" w:cs="Liberation Serif"/>
          <w:color w:val="auto"/>
          <w:kern w:val="2"/>
          <w:sz w:val="20"/>
          <w:szCs w:val="20"/>
          <w:rtl w:val="true"/>
          <w:lang w:val="en-US" w:eastAsia="zh-CN" w:bidi="he-IL"/>
        </w:rPr>
        <w:t>.</w:t>
      </w:r>
    </w:p>
  </w:footnote>
  <w:footnote w:id="7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>.</w:t>
      </w:r>
    </w:p>
  </w:footnote>
  <w:footnote w:id="8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>.</w:t>
      </w:r>
    </w:p>
  </w:footnote>
  <w:footnote w:id="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b w:val="false"/>
          <w:bCs w:val="false"/>
        </w:rPr>
        <w:tab/>
        <w:t xml:space="preserve">René Descartes, </w:t>
      </w:r>
      <w:bookmarkStart w:id="2" w:name="title_Copy_1_Copy_1_Copy_1_Copy_1_Copy_1"/>
      <w:bookmarkStart w:id="3" w:name="productTitle_Copy_1_Copy_1_Copy_1_Copy_1"/>
      <w:bookmarkEnd w:id="2"/>
      <w:bookmarkEnd w:id="3"/>
      <w:r>
        <w:rPr>
          <w:i/>
          <w:iCs/>
        </w:rPr>
        <w:t>Meditations on First Philosophy</w:t>
      </w:r>
      <w:r>
        <w:rPr>
          <w:i w:val="false"/>
          <w:iCs w:val="false"/>
        </w:rPr>
        <w:t>. Trans. Donald A. Cress (Indianapolis: Hackett Publishing Company, 1993), p. 17, para. 26</w:t>
      </w:r>
    </w:p>
  </w:footnote>
  <w:footnote w:id="10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 18, para. 27</w:t>
      </w:r>
    </w:p>
  </w:footnote>
  <w:footnote w:id="11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ברוך שפינוזה</w:t>
      </w:r>
      <w:r>
        <w:rPr>
          <w:rtl w:val="true"/>
        </w:rPr>
        <w:t xml:space="preserve">.,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88</w:t>
      </w:r>
      <w:r>
        <w:rPr>
          <w:rtl w:val="true"/>
        </w:rPr>
        <w:t xml:space="preserve">, </w:t>
      </w:r>
      <w:r>
        <w:rPr>
          <w:rtl w:val="true"/>
        </w:rPr>
        <w:t xml:space="preserve">משפט </w:t>
      </w:r>
      <w:r>
        <w:rPr/>
        <w:t>14</w:t>
      </w:r>
      <w:r>
        <w:rPr>
          <w:rtl w:val="true"/>
        </w:rPr>
        <w:t>.</w:t>
      </w:r>
    </w:p>
  </w:footnote>
  <w:footnote w:id="1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ברוך שפינוזה</w:t>
      </w:r>
      <w:r>
        <w:rPr>
          <w:rtl w:val="true"/>
        </w:rPr>
        <w:t xml:space="preserve">.,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75</w:t>
      </w:r>
      <w:r>
        <w:rPr>
          <w:rtl w:val="true"/>
        </w:rPr>
        <w:t xml:space="preserve">, </w:t>
      </w:r>
      <w:r>
        <w:rPr>
          <w:rtl w:val="true"/>
        </w:rPr>
        <w:t>הגדרה</w:t>
      </w:r>
      <w:r>
        <w:rPr>
          <w:rtl w:val="true"/>
        </w:rPr>
        <w:t xml:space="preserve"> </w:t>
      </w:r>
      <w:r>
        <w:rPr/>
        <w:t>4</w:t>
      </w:r>
      <w:r>
        <w:rPr>
          <w:rtl w:val="true"/>
        </w:rPr>
        <w:t>.</w:t>
      </w:r>
    </w:p>
  </w:footnote>
  <w:footnote w:id="13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ברוך שפינוזה</w:t>
      </w:r>
      <w:r>
        <w:rPr>
          <w:rtl w:val="true"/>
        </w:rPr>
        <w:t xml:space="preserve">., </w:t>
      </w:r>
      <w:r>
        <w:rPr>
          <w:i/>
          <w:i/>
          <w:iCs/>
          <w:rtl w:val="true"/>
        </w:rPr>
        <w:t>אתיקה</w:t>
      </w:r>
      <w:r>
        <w:rPr>
          <w:rtl w:val="true"/>
        </w:rPr>
        <w:t xml:space="preserve">. </w:t>
      </w:r>
      <w:r>
        <w:rPr>
          <w:rtl w:val="true"/>
        </w:rPr>
        <w:t>חלק ב’</w:t>
      </w:r>
      <w:r>
        <w:rPr>
          <w:rtl w:val="true"/>
        </w:rPr>
        <w:t>,</w:t>
      </w:r>
      <w:r>
        <w:rPr>
          <w:rtl w:val="true"/>
        </w:rPr>
        <w:t xml:space="preserve"> </w:t>
      </w:r>
      <w:r>
        <w:rPr>
          <w:rtl w:val="true"/>
        </w:rPr>
        <w:t xml:space="preserve">עמ’ </w:t>
      </w:r>
      <w:r>
        <w:rPr/>
        <w:t>127</w:t>
      </w:r>
      <w:r>
        <w:rPr>
          <w:rtl w:val="true"/>
        </w:rPr>
        <w:t xml:space="preserve">, </w:t>
      </w:r>
      <w:r>
        <w:rPr>
          <w:rtl w:val="true"/>
        </w:rPr>
        <w:t xml:space="preserve">משפט </w:t>
      </w:r>
      <w:r>
        <w:rPr/>
        <w:t>1</w:t>
      </w:r>
      <w:r>
        <w:rPr>
          <w:rtl w:val="true"/>
        </w:rPr>
        <w:t>.</w:t>
      </w:r>
    </w:p>
  </w:footnote>
  <w:footnote w:id="14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128</w:t>
      </w:r>
      <w:r>
        <w:rPr>
          <w:rtl w:val="true"/>
        </w:rPr>
        <w:t xml:space="preserve">, </w:t>
      </w:r>
      <w:r>
        <w:rPr>
          <w:rtl w:val="true"/>
        </w:rPr>
        <w:t xml:space="preserve">משפט </w:t>
      </w:r>
      <w:r>
        <w:rPr/>
        <w:t>2</w:t>
      </w:r>
      <w:r>
        <w:rPr>
          <w:rtl w:val="true"/>
        </w:rPr>
        <w:t>.</w:t>
      </w:r>
    </w:p>
  </w:footnote>
  <w:footnote w:id="15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ברוך שפינוזה</w:t>
      </w:r>
      <w:r>
        <w:rPr>
          <w:rtl w:val="true"/>
        </w:rPr>
        <w:t xml:space="preserve">., </w:t>
      </w:r>
      <w:r>
        <w:rPr>
          <w:i/>
          <w:i/>
          <w:iCs/>
          <w:rtl w:val="true"/>
        </w:rPr>
        <w:t>אתיקה</w:t>
      </w:r>
      <w:r>
        <w:rPr>
          <w:i/>
          <w:iCs/>
          <w:rtl w:val="true"/>
        </w:rPr>
        <w:t xml:space="preserve">. </w:t>
      </w:r>
      <w:r>
        <w:rPr>
          <w:rtl w:val="true"/>
        </w:rPr>
        <w:t xml:space="preserve"> </w:t>
      </w:r>
      <w:r>
        <w:rPr>
          <w:rtl w:val="true"/>
        </w:rPr>
        <w:t xml:space="preserve">עמ’ </w:t>
      </w:r>
      <w:r>
        <w:rPr/>
        <w:t>76</w:t>
      </w:r>
      <w:r>
        <w:rPr>
          <w:rtl w:val="true"/>
        </w:rPr>
        <w:t xml:space="preserve">, </w:t>
      </w:r>
      <w:r>
        <w:rPr>
          <w:rtl w:val="true"/>
        </w:rPr>
        <w:t xml:space="preserve">הגדרה </w:t>
      </w:r>
      <w:r>
        <w:rPr/>
        <w:t>7</w:t>
      </w:r>
      <w:r>
        <w:rPr>
          <w:rtl w:val="true"/>
        </w:rPr>
        <w:t>.</w:t>
      </w:r>
    </w:p>
  </w:footnote>
  <w:footnote w:id="16">
    <w:p>
      <w:pPr>
        <w:pStyle w:val="Footnote"/>
        <w:rPr/>
      </w:pPr>
      <w:r>
        <w:rPr>
          <w:rStyle w:val="FootnoteCharacters"/>
        </w:rPr>
        <w:footnoteRef/>
      </w:r>
      <w:r>
        <w:rPr>
          <w:rtl w:val="true"/>
        </w:rPr>
        <w:tab/>
        <w:t>שם</w:t>
      </w:r>
      <w:r>
        <w:rPr>
          <w:rtl w:val="true"/>
        </w:rPr>
        <w:t xml:space="preserve">. </w:t>
      </w:r>
      <w:r>
        <w:rPr>
          <w:rtl w:val="true"/>
        </w:rPr>
        <w:t xml:space="preserve">עמ’ </w:t>
      </w:r>
      <w:r>
        <w:rPr/>
        <w:t>107</w:t>
      </w:r>
      <w:r>
        <w:rPr>
          <w:rtl w:val="true"/>
        </w:rPr>
        <w:t xml:space="preserve">, </w:t>
      </w:r>
      <w:r>
        <w:rPr>
          <w:rtl w:val="true"/>
        </w:rPr>
        <w:t xml:space="preserve">משפט </w:t>
      </w:r>
      <w:r>
        <w:rPr/>
        <w:t>29</w:t>
      </w:r>
      <w:r>
        <w:rPr>
          <w:rtl w:val="true"/>
        </w:rPr>
        <w:t>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b/>
        <w:bCs/>
      </w:rPr>
    </w:pPr>
    <w:r>
      <w:rPr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75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432</TotalTime>
  <Application>LibreOffice/7.5.5.2$Linux_X86_64 LibreOffice_project/50$Build-2</Application>
  <AppVersion>15.0000</AppVersion>
  <Pages>3</Pages>
  <Words>880</Words>
  <Characters>4346</Characters>
  <CharactersWithSpaces>5231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2024-02-22T17:11:12Z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