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Philosophy"/>
        <w:bidi w:val="1"/>
        <w:ind w:left="0" w:right="0" w:hanging="0"/>
        <w:rPr/>
      </w:pPr>
      <w:r>
        <w:rPr>
          <w:rtl w:val="true"/>
          <w:lang w:bidi="he-IL"/>
        </w:rPr>
        <w:t>להיות אדם במלוא המובן משמע לחיות על פי התבונה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ולפעול לאורה באופן הטוב ביותר – וחיים מאושרים אלו הם החיים הטובים</w:t>
      </w:r>
      <w:r>
        <w:rPr>
          <w:rtl w:val="true"/>
          <w:lang w:bidi="he-IL"/>
        </w:rPr>
        <w:t xml:space="preserve">. </w:t>
      </w:r>
      <w:r>
        <w:rPr>
          <w:rtl w:val="true"/>
          <w:lang w:bidi="he-IL"/>
        </w:rPr>
        <w:t>כך קובע אריסטו בחקירתו המשתרעת על פני ה</w:t>
      </w:r>
      <w:r>
        <w:rPr>
          <w:i/>
          <w:i/>
          <w:iCs/>
          <w:rtl w:val="true"/>
          <w:lang w:bidi="he-IL"/>
        </w:rPr>
        <w:t>מטאפיזיקה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ה</w:t>
      </w:r>
      <w:r>
        <w:rPr>
          <w:i/>
          <w:i/>
          <w:iCs/>
          <w:rtl w:val="true"/>
          <w:lang w:bidi="he-IL"/>
        </w:rPr>
        <w:t>פיזיקה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ולבסוף – ה</w:t>
      </w:r>
      <w:r>
        <w:rPr>
          <w:i/>
          <w:i/>
          <w:iCs/>
          <w:rtl w:val="true"/>
          <w:lang w:bidi="he-IL"/>
        </w:rPr>
        <w:t>אתיקה הניקומאכית</w:t>
      </w:r>
      <w:r>
        <w:rPr>
          <w:rtl w:val="true"/>
          <w:lang w:bidi="he-IL"/>
        </w:rPr>
        <w:t xml:space="preserve">. </w:t>
      </w:r>
      <w:r>
        <w:rPr>
          <w:rtl w:val="true"/>
          <w:lang w:bidi="he-IL"/>
        </w:rPr>
        <w:t>בבקשו את החיים הטובים לאדם הטוב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מתמודד אריסטו עם שאלה זו שלב אחר שלב – מה זה להיות</w:t>
      </w:r>
      <w:r>
        <w:rPr>
          <w:rtl w:val="true"/>
          <w:lang w:bidi="he-IL"/>
        </w:rPr>
        <w:t xml:space="preserve">? </w:t>
      </w:r>
      <w:r>
        <w:rPr>
          <w:rtl w:val="true"/>
          <w:lang w:bidi="he-IL"/>
        </w:rPr>
        <w:t>מה זה להיות אדם</w:t>
      </w:r>
      <w:r>
        <w:rPr>
          <w:rtl w:val="true"/>
          <w:lang w:bidi="he-IL"/>
        </w:rPr>
        <w:t xml:space="preserve">? </w:t>
      </w:r>
      <w:r>
        <w:rPr>
          <w:rtl w:val="true"/>
          <w:lang w:bidi="he-IL"/>
        </w:rPr>
        <w:t>ולבסוף – מה זה להיות אדם טוב</w:t>
      </w:r>
      <w:r>
        <w:rPr>
          <w:rtl w:val="true"/>
          <w:lang w:bidi="he-IL"/>
        </w:rPr>
        <w:t xml:space="preserve">? </w:t>
      </w:r>
      <w:r>
        <w:rPr>
          <w:rtl w:val="true"/>
          <w:lang w:bidi="he-IL"/>
        </w:rPr>
        <w:t>אלו מן חיים על אדם כזה לנהל</w:t>
      </w:r>
      <w:r>
        <w:rPr>
          <w:rtl w:val="true"/>
          <w:lang w:bidi="he-IL"/>
        </w:rPr>
        <w:t xml:space="preserve">? </w:t>
      </w:r>
      <w:r>
        <w:rPr>
          <w:rtl w:val="true"/>
          <w:lang w:bidi="he-IL"/>
        </w:rPr>
        <w:t>בחיבור זה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אבקש לתמצת חקירה זו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שלב אחר שלב</w:t>
      </w:r>
      <w:r>
        <w:rPr>
          <w:rtl w:val="true"/>
          <w:lang w:bidi="he-IL"/>
        </w:rPr>
        <w:t xml:space="preserve">: </w:t>
      </w:r>
      <w:r>
        <w:rPr>
          <w:rtl w:val="true"/>
          <w:lang w:bidi="he-IL"/>
        </w:rPr>
        <w:t>תחילה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אדגים כיצד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על פי אריסטו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 xml:space="preserve">להיות משמע להיות מסוים ועצמאי – להיות עצם </w:t>
      </w:r>
      <w:r>
        <w:rPr>
          <w:rtl w:val="true"/>
          <w:lang w:bidi="he-IL"/>
        </w:rPr>
        <w:t>(</w:t>
      </w:r>
      <w:r>
        <w:rPr>
          <w:lang w:val="grc-GR" w:bidi="he-IL"/>
        </w:rPr>
        <w:t>οὐσία</w:t>
      </w:r>
      <w:r>
        <w:rPr>
          <w:rtl w:val="true"/>
          <w:lang w:bidi="he-IL"/>
        </w:rPr>
        <w:t xml:space="preserve">); </w:t>
      </w:r>
      <w:r>
        <w:rPr>
          <w:rtl w:val="true"/>
          <w:lang w:bidi="he-IL"/>
        </w:rPr>
        <w:t xml:space="preserve">אדגים כיצד מסוימות זו מורכבת מחומר </w:t>
      </w:r>
      <w:r>
        <w:rPr>
          <w:rFonts w:cs="Times New Roman"/>
          <w:rtl w:val="true"/>
          <w:lang w:bidi="he-IL"/>
        </w:rPr>
        <w:t>(</w:t>
      </w:r>
      <w:bookmarkStart w:id="0" w:name="firstHeading6"/>
      <w:bookmarkEnd w:id="0"/>
      <w:r>
        <w:rPr>
          <w:rFonts w:cs="Times New Roman"/>
          <w:lang w:bidi="he-IL"/>
        </w:rPr>
        <w:t>ὕλη</w:t>
      </w:r>
      <w:r>
        <w:rPr>
          <w:rFonts w:cs="Times New Roman"/>
          <w:rtl w:val="true"/>
          <w:lang w:bidi="he-IL"/>
        </w:rPr>
        <w:t>)</w:t>
      </w:r>
      <w:r>
        <w:rPr>
          <w:rtl w:val="true"/>
          <w:lang w:bidi="he-IL"/>
        </w:rPr>
        <w:t xml:space="preserve"> </w:t>
      </w:r>
      <w:r>
        <w:rPr>
          <w:rtl w:val="true"/>
          <w:lang w:bidi="he-IL"/>
        </w:rPr>
        <w:t xml:space="preserve">ומצורה </w:t>
      </w:r>
      <w:r>
        <w:rPr>
          <w:rFonts w:cs="Times New Roman"/>
          <w:rtl w:val="true"/>
          <w:lang w:bidi="he-IL"/>
        </w:rPr>
        <w:t>(</w:t>
      </w:r>
      <w:bookmarkStart w:id="1" w:name="firstHeading8"/>
      <w:bookmarkEnd w:id="1"/>
      <w:r>
        <w:rPr>
          <w:rFonts w:cs="Times New Roman"/>
          <w:lang w:bidi="he-IL"/>
        </w:rPr>
        <w:t>μορφή</w:t>
      </w:r>
      <w:r>
        <w:rPr>
          <w:rFonts w:cs="Times New Roman"/>
          <w:rtl w:val="true"/>
          <w:lang w:bidi="he-IL"/>
        </w:rPr>
        <w:t>)</w:t>
      </w:r>
      <w:r>
        <w:rPr>
          <w:rtl w:val="true"/>
          <w:lang w:bidi="he-IL"/>
        </w:rPr>
        <w:t xml:space="preserve"> – </w:t>
      </w:r>
      <w:r>
        <w:rPr>
          <w:rtl w:val="true"/>
          <w:lang w:bidi="he-IL"/>
        </w:rPr>
        <w:t>הדבר שיכול להתממש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 xml:space="preserve">והאופן שבו הוא יכול להתממש </w:t>
      </w:r>
      <w:r>
        <w:rPr>
          <w:rtl w:val="true"/>
          <w:lang w:bidi="he-IL"/>
        </w:rPr>
        <w:t xml:space="preserve">- </w:t>
      </w:r>
      <w:r>
        <w:rPr>
          <w:rtl w:val="true"/>
          <w:lang w:bidi="he-IL"/>
        </w:rPr>
        <w:t>ומדוע הצורה היא זו שמעניקה את המסוימות הזו</w:t>
      </w:r>
      <w:r>
        <w:rPr>
          <w:rtl w:val="true"/>
          <w:lang w:bidi="he-IL"/>
        </w:rPr>
        <w:t xml:space="preserve">. </w:t>
      </w:r>
      <w:r>
        <w:rPr>
          <w:rtl w:val="true"/>
          <w:lang w:bidi="he-IL"/>
        </w:rPr>
        <w:t>בהמשך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אעמוד על הבחנתו של אריסטו בין העצמים המלאכותיים לעצמים הטבעיים – אלו אשר מתממשים בכוחות חיצוניים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 xml:space="preserve">ואלו אשר מונעים בדחף פנימי עצמאי לעבר מימושם </w:t>
      </w:r>
      <w:r>
        <w:rPr>
          <w:rtl w:val="true"/>
          <w:lang w:bidi="he-IL"/>
        </w:rPr>
        <w:t xml:space="preserve">- </w:t>
      </w:r>
      <w:r>
        <w:rPr>
          <w:rtl w:val="true"/>
          <w:lang w:bidi="he-IL"/>
        </w:rPr>
        <w:t xml:space="preserve">ואציג לאור הבחנה זו את הטבע </w:t>
      </w:r>
      <w:r>
        <w:rPr>
          <w:rtl w:val="true"/>
          <w:lang w:bidi="he-IL"/>
        </w:rPr>
        <w:t>(</w:t>
      </w:r>
      <w:bookmarkStart w:id="2" w:name="firstHeading9"/>
      <w:bookmarkEnd w:id="2"/>
      <w:r>
        <w:rPr>
          <w:lang w:bidi="he-IL"/>
        </w:rPr>
        <w:t>φύσις</w:t>
      </w:r>
      <w:r>
        <w:rPr>
          <w:rtl w:val="true"/>
          <w:lang w:bidi="he-IL"/>
        </w:rPr>
        <w:t xml:space="preserve">) </w:t>
      </w:r>
      <w:r>
        <w:rPr>
          <w:rtl w:val="true"/>
          <w:lang w:bidi="he-IL"/>
        </w:rPr>
        <w:t>האריסטותלי</w:t>
      </w:r>
      <w:r>
        <w:rPr>
          <w:rtl w:val="true"/>
          <w:lang w:bidi="he-IL"/>
        </w:rPr>
        <w:t xml:space="preserve">; </w:t>
      </w:r>
      <w:r>
        <w:rPr>
          <w:rtl w:val="true"/>
          <w:lang w:bidi="he-IL"/>
        </w:rPr>
        <w:t>ולבסוף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אעמוד על צורתו של האדם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בהיותו טבעי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מסוים ועצמאי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 xml:space="preserve">ועל החיים </w:t>
      </w:r>
      <w:r>
        <w:rPr>
          <w:rtl w:val="true"/>
          <w:lang w:bidi="he-IL"/>
        </w:rPr>
        <w:t>שעליו</w:t>
      </w:r>
      <w:r>
        <w:rPr>
          <w:rtl w:val="true"/>
          <w:lang w:bidi="he-IL"/>
        </w:rPr>
        <w:t xml:space="preserve"> לנהל ככזה</w:t>
      </w:r>
      <w:r>
        <w:rPr>
          <w:rtl w:val="true"/>
          <w:lang w:bidi="he-IL"/>
        </w:rPr>
        <w:t>.</w:t>
      </w:r>
    </w:p>
    <w:p>
      <w:pPr>
        <w:pStyle w:val="Philosophy"/>
        <w:bidi w:val="1"/>
        <w:rPr/>
      </w:pPr>
      <w:r>
        <w:rPr>
          <w:rtl w:val="true"/>
          <w:lang w:bidi="he-IL"/>
        </w:rPr>
        <w:t>החקירה האריסטותלית מתחילה בשאלה הפילוסופית הקשה ביותר</w:t>
      </w:r>
      <w:r>
        <w:rPr>
          <w:rtl w:val="true"/>
          <w:lang w:bidi="he-IL"/>
        </w:rPr>
        <w:t xml:space="preserve">: </w:t>
      </w:r>
      <w:r>
        <w:rPr>
          <w:rtl w:val="true"/>
          <w:lang w:bidi="he-IL"/>
        </w:rPr>
        <w:t>מה זה להיות</w:t>
      </w:r>
      <w:r>
        <w:rPr>
          <w:rtl w:val="true"/>
          <w:lang w:bidi="he-IL"/>
        </w:rPr>
        <w:t xml:space="preserve">? </w:t>
      </w:r>
      <w:r>
        <w:rPr>
          <w:rtl w:val="true"/>
          <w:lang w:bidi="he-IL"/>
        </w:rPr>
        <w:t>ב</w:t>
      </w:r>
      <w:r>
        <w:rPr>
          <w:i/>
          <w:i/>
          <w:iCs/>
          <w:rtl w:val="true"/>
          <w:lang w:bidi="he-IL"/>
        </w:rPr>
        <w:t>מטאפיזיקה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קובע  אריסטו שלהיות משמע להיות מסוים ועצמאי</w:t>
      </w:r>
      <w:r>
        <w:rPr>
          <w:rStyle w:val="FootnoteAnchor"/>
          <w:rtl w:val="true"/>
          <w:lang w:bidi="he-IL"/>
        </w:rPr>
        <w:footnoteReference w:id="2"/>
      </w:r>
      <w:r>
        <w:rPr>
          <w:rtl w:val="true"/>
          <w:lang w:bidi="he-IL"/>
        </w:rPr>
        <w:t xml:space="preserve">. </w:t>
      </w:r>
      <w:r>
        <w:rPr>
          <w:rtl w:val="true"/>
          <w:lang w:bidi="he-IL"/>
        </w:rPr>
        <w:t>כל דבר באשר הוא נושא תכונות מסוימות במהותו – ה</w:t>
      </w:r>
      <w:r>
        <w:rPr>
          <w:rtl w:val="true"/>
          <w:lang w:bidi="he-IL"/>
        </w:rPr>
        <w:t>'</w:t>
      </w:r>
      <w:r>
        <w:rPr>
          <w:rtl w:val="true"/>
          <w:lang w:bidi="he-IL"/>
        </w:rPr>
        <w:t>מה שהדבר צריך להמשיך ולהיות על מנת להיות אותו הדבר בכלל</w:t>
      </w:r>
      <w:r>
        <w:rPr>
          <w:rtl w:val="true"/>
          <w:lang w:bidi="he-IL"/>
        </w:rPr>
        <w:t>'</w:t>
      </w:r>
      <w:r>
        <w:rPr>
          <w:rStyle w:val="FootnoteAnchor"/>
          <w:rtl w:val="true"/>
          <w:lang w:bidi="he-IL"/>
        </w:rPr>
        <w:footnoteReference w:id="3"/>
      </w:r>
      <w:r>
        <w:rPr>
          <w:rtl w:val="true"/>
          <w:lang w:bidi="he-IL"/>
        </w:rPr>
        <w:t xml:space="preserve">. </w:t>
      </w:r>
      <w:r>
        <w:rPr>
          <w:rtl w:val="true"/>
          <w:lang w:bidi="he-IL"/>
        </w:rPr>
        <w:t>רעיון מורכב זה הוא העצם  האריסטותלי</w:t>
      </w:r>
      <w:r>
        <w:rPr>
          <w:rtl w:val="true"/>
          <w:lang w:bidi="he-IL"/>
        </w:rPr>
        <w:t xml:space="preserve">: </w:t>
      </w:r>
      <w:r>
        <w:rPr>
          <w:rtl w:val="true"/>
          <w:lang w:bidi="he-IL"/>
        </w:rPr>
        <w:t>המהות הראשונית ביותר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המסוימת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הייחודית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והעצמאית של כל דבר באשר הוא</w:t>
      </w:r>
      <w:r>
        <w:rPr>
          <w:rtl w:val="true"/>
          <w:lang w:bidi="he-IL"/>
        </w:rPr>
        <w:t xml:space="preserve">. </w:t>
      </w:r>
      <w:r>
        <w:rPr>
          <w:rtl w:val="true"/>
          <w:lang w:bidi="he-IL"/>
        </w:rPr>
        <w:t>בבקשנו לדעת מהו אדם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למשל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 xml:space="preserve">אין די לומר שהאדם הוא </w:t>
      </w:r>
      <w:r>
        <w:rPr>
          <w:rtl w:val="true"/>
          <w:lang w:bidi="he-IL"/>
        </w:rPr>
        <w:t>'</w:t>
      </w:r>
      <w:r>
        <w:rPr>
          <w:rtl w:val="true"/>
          <w:lang w:bidi="he-IL"/>
        </w:rPr>
        <w:t>מהלך על שניים</w:t>
      </w:r>
      <w:r>
        <w:rPr>
          <w:rtl w:val="true"/>
          <w:lang w:bidi="he-IL"/>
        </w:rPr>
        <w:t xml:space="preserve">: </w:t>
      </w:r>
      <w:r>
        <w:rPr>
          <w:rtl w:val="true"/>
          <w:lang w:bidi="he-IL"/>
        </w:rPr>
        <w:t>הגם שהגדרה זו נכונה על פניה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היא אינה קולעת למהותו של האדם – היא אינה מתארת את המסוימות שהופכת את האדם למה שהוא</w:t>
      </w:r>
      <w:r>
        <w:rPr>
          <w:rtl w:val="true"/>
          <w:lang w:bidi="he-IL"/>
        </w:rPr>
        <w:t xml:space="preserve">. </w:t>
      </w:r>
      <w:r>
        <w:rPr>
          <w:rtl w:val="true"/>
          <w:lang w:bidi="he-IL"/>
        </w:rPr>
        <w:t>תכונות שכאלו מגדיר אריסטו כחולפות – מקריות בלבד</w:t>
      </w:r>
      <w:r>
        <w:rPr>
          <w:rtl w:val="true"/>
          <w:lang w:bidi="he-IL"/>
        </w:rPr>
        <w:t xml:space="preserve">: </w:t>
      </w:r>
      <w:r>
        <w:rPr>
          <w:rtl w:val="true"/>
          <w:lang w:bidi="he-IL"/>
        </w:rPr>
        <w:t>בין שהוא חיוור ובין שלא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בין שהוא יושב או עומד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האדם נותר אדם – האנושיות שבו שורדת שינויים חולפים דוגמת אלו</w:t>
      </w:r>
      <w:r>
        <w:rPr>
          <w:rtl w:val="true"/>
          <w:lang w:bidi="he-IL"/>
        </w:rPr>
        <w:t xml:space="preserve">. </w:t>
      </w:r>
      <w:r>
        <w:rPr>
          <w:rtl w:val="true"/>
          <w:lang w:bidi="he-IL"/>
        </w:rPr>
        <w:t>אותה האנושיות – קיום המהות של האדם באשר הוא אדם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היא זו שהופכת אותו למה שהוא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אשר בלעדיה יחדל האדם מלהיות – היא העצם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והיא הדבר אותו מבקש אריסטו בחקירתו</w:t>
      </w:r>
      <w:r>
        <w:rPr>
          <w:rStyle w:val="FootnoteAnchor"/>
          <w:rtl w:val="true"/>
          <w:lang w:bidi="he-IL"/>
        </w:rPr>
        <w:footnoteReference w:id="4"/>
      </w:r>
      <w:r>
        <w:rPr>
          <w:rtl w:val="true"/>
          <w:lang w:bidi="he-IL"/>
        </w:rPr>
        <w:t xml:space="preserve">. </w:t>
      </w:r>
      <w:r>
        <w:rPr>
          <w:rtl w:val="true"/>
          <w:lang w:bidi="he-IL"/>
        </w:rPr>
        <w:t>מהו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איפוא</w:t>
      </w:r>
      <w:r>
        <w:rPr>
          <w:rtl w:val="true"/>
          <w:lang w:bidi="he-IL"/>
        </w:rPr>
        <w:t xml:space="preserve">, </w:t>
      </w:r>
      <w:r>
        <w:rPr>
          <w:rtl w:val="true"/>
          <w:lang w:bidi="he-IL"/>
        </w:rPr>
        <w:t>העצם</w:t>
      </w:r>
      <w:r>
        <w:rPr>
          <w:rtl w:val="true"/>
          <w:lang w:bidi="he-IL"/>
        </w:rPr>
        <w:t xml:space="preserve">? </w:t>
      </w:r>
      <w:r>
        <w:rPr>
          <w:rtl w:val="true"/>
          <w:lang w:bidi="he-IL"/>
        </w:rPr>
        <w:t>מהו אותו ה</w:t>
      </w:r>
      <w:r>
        <w:rPr>
          <w:rtl w:val="true"/>
          <w:lang w:bidi="he-IL"/>
        </w:rPr>
        <w:t>'</w:t>
      </w:r>
      <w:r>
        <w:rPr>
          <w:rtl w:val="true"/>
          <w:lang w:bidi="he-IL"/>
        </w:rPr>
        <w:t>מה שמשהו צריך להיות על מנת להמשיך ולהיות בכלל</w:t>
      </w:r>
      <w:r>
        <w:rPr>
          <w:rtl w:val="true"/>
          <w:lang w:bidi="he-IL"/>
        </w:rPr>
        <w:t>'?</w:t>
      </w:r>
    </w:p>
    <w:p>
      <w:pPr>
        <w:pStyle w:val="Philosophy"/>
        <w:bidi w:val="1"/>
        <w:rPr>
          <w:rFonts w:ascii="David CLM" w:hAnsi="David CLM" w:cs="David CLM"/>
        </w:rPr>
      </w:pPr>
      <w:r>
        <w:rPr>
          <w:rFonts w:ascii="David CLM" w:hAnsi="David CLM"/>
          <w:rtl w:val="true"/>
          <w:lang w:bidi="he-IL"/>
        </w:rPr>
        <w:t>תחילה</w:t>
      </w:r>
      <w:r>
        <w:rPr>
          <w:rFonts w:cs="David CLM" w:ascii="David CLM" w:hAnsi="David CLM"/>
          <w:rtl w:val="true"/>
          <w:lang w:bidi="he-IL"/>
        </w:rPr>
        <w:t xml:space="preserve">, </w:t>
      </w:r>
      <w:r>
        <w:rPr>
          <w:rFonts w:ascii="David CLM" w:hAnsi="David CLM"/>
          <w:rtl w:val="true"/>
          <w:lang w:bidi="he-IL"/>
        </w:rPr>
        <w:t xml:space="preserve">בוחן אריסטו את עמדתה של הדעה הרווחת </w:t>
      </w:r>
      <w:r>
        <w:rPr>
          <w:rFonts w:cs="Times New Roman"/>
          <w:i w:val="false"/>
          <w:iCs w:val="false"/>
          <w:rtl w:val="true"/>
          <w:lang w:bidi="he-IL"/>
        </w:rPr>
        <w:t>(</w:t>
      </w:r>
      <w:bookmarkStart w:id="3" w:name="firstHeading2"/>
      <w:bookmarkEnd w:id="3"/>
      <w:r>
        <w:rPr>
          <w:rFonts w:cs="Times New Roman"/>
          <w:lang w:bidi="he-IL"/>
        </w:rPr>
        <w:t>δόξα</w:t>
      </w:r>
      <w:r>
        <w:rPr>
          <w:rFonts w:cs="Times New Roman"/>
          <w:i w:val="false"/>
          <w:iCs w:val="false"/>
          <w:rtl w:val="true"/>
          <w:lang w:bidi="he-IL"/>
        </w:rPr>
        <w:t>)</w:t>
      </w:r>
      <w:r>
        <w:rPr>
          <w:rFonts w:cs="David CLM" w:ascii="David CLM" w:hAnsi="David CLM"/>
          <w:rtl w:val="true"/>
          <w:lang w:bidi="he-IL"/>
        </w:rPr>
        <w:t xml:space="preserve"> – </w:t>
      </w:r>
      <w:r>
        <w:rPr>
          <w:rFonts w:ascii="David CLM" w:hAnsi="David CLM"/>
          <w:rtl w:val="true"/>
          <w:lang w:bidi="he-IL"/>
        </w:rPr>
        <w:t>החומר</w:t>
      </w:r>
      <w:r>
        <w:rPr>
          <w:rFonts w:cs="David CLM" w:ascii="David CLM" w:hAnsi="David CLM"/>
          <w:rtl w:val="true"/>
          <w:lang w:bidi="he-IL"/>
        </w:rPr>
        <w:t xml:space="preserve">. </w:t>
      </w:r>
      <w:r>
        <w:rPr>
          <w:rFonts w:ascii="David CLM" w:hAnsi="David CLM"/>
          <w:rtl w:val="true"/>
          <w:lang w:bidi="he-IL"/>
        </w:rPr>
        <w:t>בהיעדר גוף</w:t>
      </w:r>
      <w:r>
        <w:rPr>
          <w:rFonts w:cs="David CLM" w:ascii="David CLM" w:hAnsi="David CLM"/>
          <w:rtl w:val="true"/>
          <w:lang w:bidi="he-IL"/>
        </w:rPr>
        <w:t xml:space="preserve">, </w:t>
      </w:r>
      <w:r>
        <w:rPr>
          <w:rFonts w:ascii="David CLM" w:hAnsi="David CLM"/>
          <w:rtl w:val="true"/>
          <w:lang w:bidi="he-IL"/>
        </w:rPr>
        <w:t>למשל</w:t>
      </w:r>
      <w:r>
        <w:rPr>
          <w:rFonts w:cs="David CLM" w:ascii="David CLM" w:hAnsi="David CLM"/>
          <w:rtl w:val="true"/>
          <w:lang w:bidi="he-IL"/>
        </w:rPr>
        <w:t xml:space="preserve">, </w:t>
      </w:r>
      <w:r>
        <w:rPr>
          <w:rFonts w:ascii="David CLM" w:hAnsi="David CLM"/>
          <w:rtl w:val="true"/>
          <w:lang w:bidi="he-IL"/>
        </w:rPr>
        <w:t>בוודאי שהאדם חדל מלהתקיים</w:t>
      </w:r>
      <w:r>
        <w:rPr>
          <w:rFonts w:cs="David CLM" w:ascii="David CLM" w:hAnsi="David CLM"/>
          <w:rtl w:val="true"/>
          <w:lang w:bidi="he-IL"/>
        </w:rPr>
        <w:t xml:space="preserve">; </w:t>
      </w:r>
      <w:r>
        <w:rPr>
          <w:rFonts w:ascii="David CLM" w:hAnsi="David CLM"/>
          <w:rtl w:val="true"/>
          <w:lang w:bidi="he-IL"/>
        </w:rPr>
        <w:t>אלא שאריסטו סבור</w:t>
      </w:r>
      <w:r>
        <w:rPr>
          <w:rFonts w:cs="David CLM" w:ascii="David CLM" w:hAnsi="David CLM"/>
          <w:rtl w:val="true"/>
          <w:lang w:bidi="he-IL"/>
        </w:rPr>
        <w:t xml:space="preserve">, </w:t>
      </w:r>
      <w:r>
        <w:rPr>
          <w:rFonts w:ascii="David CLM" w:hAnsi="David CLM"/>
          <w:rtl w:val="true"/>
          <w:lang w:bidi="he-IL"/>
        </w:rPr>
        <w:t>כשם שסבר אפלטון לפניו</w:t>
      </w:r>
      <w:r>
        <w:rPr>
          <w:rStyle w:val="FootnoteAnchor"/>
          <w:rFonts w:ascii="David CLM" w:hAnsi="David CLM"/>
          <w:rtl w:val="true"/>
          <w:lang w:bidi="he-IL"/>
        </w:rPr>
        <w:footnoteReference w:id="5"/>
      </w:r>
      <w:r>
        <w:rPr>
          <w:rFonts w:cs="David CLM" w:ascii="David CLM" w:hAnsi="David CLM"/>
          <w:rtl w:val="true"/>
          <w:lang w:bidi="he-IL"/>
        </w:rPr>
        <w:t xml:space="preserve">, </w:t>
      </w:r>
      <w:r>
        <w:rPr>
          <w:rFonts w:ascii="David CLM" w:hAnsi="David CLM"/>
          <w:rtl w:val="true"/>
          <w:lang w:bidi="he-IL"/>
        </w:rPr>
        <w:t xml:space="preserve">שאין די בחומר לקלוע </w:t>
      </w:r>
      <w:r>
        <w:rPr>
          <w:rFonts w:ascii="David CLM" w:hAnsi="David CLM"/>
          <w:rtl w:val="true"/>
          <w:lang w:bidi="he-IL"/>
        </w:rPr>
        <w:t>למהותם</w:t>
      </w:r>
      <w:r>
        <w:rPr>
          <w:rFonts w:ascii="David CLM" w:hAnsi="David CLM"/>
          <w:rtl w:val="true"/>
          <w:lang w:bidi="he-IL"/>
        </w:rPr>
        <w:t xml:space="preserve"> של הדברים באשר הם</w:t>
      </w:r>
      <w:r>
        <w:rPr>
          <w:rFonts w:cs="David CLM" w:ascii="David CLM" w:hAnsi="David CLM"/>
          <w:rtl w:val="true"/>
          <w:lang w:bidi="he-IL"/>
        </w:rPr>
        <w:t xml:space="preserve">. </w:t>
      </w:r>
      <w:r>
        <w:rPr>
          <w:rFonts w:ascii="David CLM" w:hAnsi="David CLM"/>
          <w:rtl w:val="true"/>
          <w:lang w:bidi="he-IL"/>
        </w:rPr>
        <w:t>החומר</w:t>
      </w:r>
      <w:r>
        <w:rPr>
          <w:rFonts w:cs="David CLM" w:ascii="David CLM" w:hAnsi="David CLM"/>
          <w:rtl w:val="true"/>
          <w:lang w:bidi="he-IL"/>
        </w:rPr>
        <w:t xml:space="preserve">, </w:t>
      </w:r>
      <w:r>
        <w:rPr>
          <w:rFonts w:ascii="David CLM" w:hAnsi="David CLM"/>
          <w:rtl w:val="true"/>
          <w:lang w:bidi="he-IL"/>
        </w:rPr>
        <w:t>אומר אריסטו</w:t>
      </w:r>
      <w:r>
        <w:rPr>
          <w:rFonts w:cs="David CLM" w:ascii="David CLM" w:hAnsi="David CLM"/>
          <w:rtl w:val="true"/>
          <w:lang w:bidi="he-IL"/>
        </w:rPr>
        <w:t xml:space="preserve">, </w:t>
      </w:r>
      <w:r>
        <w:rPr>
          <w:rFonts w:ascii="David CLM" w:hAnsi="David CLM"/>
          <w:rtl w:val="true"/>
          <w:lang w:bidi="he-IL"/>
        </w:rPr>
        <w:t>אינו מסוים</w:t>
      </w:r>
      <w:r>
        <w:rPr>
          <w:rFonts w:cs="David CLM" w:ascii="David CLM" w:hAnsi="David CLM"/>
          <w:rtl w:val="true"/>
          <w:lang w:bidi="he-IL"/>
        </w:rPr>
        <w:t xml:space="preserve">; </w:t>
      </w:r>
      <w:r>
        <w:rPr>
          <w:rFonts w:ascii="David CLM" w:hAnsi="David CLM"/>
          <w:rtl w:val="true"/>
          <w:lang w:bidi="he-IL"/>
        </w:rPr>
        <w:t xml:space="preserve">המאפיינים החומריים הם מקריים </w:t>
      </w:r>
      <w:r>
        <w:rPr>
          <w:rFonts w:cs="David CLM" w:ascii="David CLM" w:hAnsi="David CLM"/>
          <w:rtl w:val="true"/>
          <w:lang w:bidi="he-IL"/>
        </w:rPr>
        <w:t xml:space="preserve">- </w:t>
      </w:r>
      <w:r>
        <w:rPr>
          <w:rFonts w:ascii="David CLM" w:hAnsi="David CLM"/>
          <w:rtl w:val="true"/>
          <w:lang w:bidi="he-IL"/>
        </w:rPr>
        <w:t>כשם שהם מרכיבים דבר אחד</w:t>
      </w:r>
      <w:r>
        <w:rPr>
          <w:rFonts w:cs="David CLM" w:ascii="David CLM" w:hAnsi="David CLM"/>
          <w:rtl w:val="true"/>
          <w:lang w:bidi="he-IL"/>
        </w:rPr>
        <w:t xml:space="preserve">, </w:t>
      </w:r>
      <w:r>
        <w:rPr>
          <w:rFonts w:ascii="David CLM" w:hAnsi="David CLM"/>
          <w:rtl w:val="true"/>
          <w:lang w:bidi="he-IL"/>
        </w:rPr>
        <w:t>ביכולתם להרכיב דבר אחר</w:t>
      </w:r>
      <w:r>
        <w:rPr>
          <w:rStyle w:val="FootnoteAnchor"/>
          <w:rFonts w:ascii="David CLM" w:hAnsi="David CLM"/>
          <w:rtl w:val="true"/>
          <w:lang w:bidi="he-IL"/>
        </w:rPr>
        <w:footnoteReference w:id="6"/>
      </w:r>
      <w:r>
        <w:rPr>
          <w:rFonts w:ascii="David CLM" w:hAnsi="David CLM"/>
          <w:rtl w:val="true"/>
          <w:lang w:bidi="he-IL"/>
        </w:rPr>
        <w:t xml:space="preserve"> </w:t>
      </w:r>
      <w:r>
        <w:rPr>
          <w:rFonts w:cs="David CLM" w:ascii="David CLM" w:hAnsi="David CLM"/>
          <w:rtl w:val="true"/>
          <w:lang w:bidi="he-IL"/>
        </w:rPr>
        <w:t xml:space="preserve">- </w:t>
      </w:r>
      <w:r>
        <w:rPr>
          <w:rFonts w:ascii="David CLM" w:hAnsi="David CLM"/>
          <w:rtl w:val="true"/>
          <w:lang w:bidi="he-IL"/>
        </w:rPr>
        <w:t>אין בכוחם להסביר את המסוימות של העצם</w:t>
      </w:r>
      <w:r>
        <w:rPr>
          <w:rFonts w:cs="David CLM" w:ascii="David CLM" w:hAnsi="David CLM"/>
          <w:rtl w:val="true"/>
          <w:lang w:bidi="he-IL"/>
        </w:rPr>
        <w:t xml:space="preserve">. </w:t>
      </w:r>
      <w:r>
        <w:rPr>
          <w:rFonts w:ascii="David CLM" w:hAnsi="David CLM"/>
          <w:rtl w:val="true"/>
          <w:lang w:bidi="he-IL"/>
        </w:rPr>
        <w:t>החומר אינו אלא מצב העניינים הראשוני</w:t>
      </w:r>
      <w:r>
        <w:rPr>
          <w:rFonts w:cs="David CLM" w:ascii="David CLM" w:hAnsi="David CLM"/>
          <w:rtl w:val="true"/>
          <w:lang w:bidi="he-IL"/>
        </w:rPr>
        <w:t xml:space="preserve">, </w:t>
      </w:r>
      <w:r>
        <w:rPr>
          <w:rFonts w:ascii="David CLM" w:hAnsi="David CLM"/>
          <w:rtl w:val="true"/>
          <w:lang w:bidi="he-IL"/>
        </w:rPr>
        <w:t>אשר ממנו הווים הדברים – מה שהאדם הבלתי</w:t>
      </w:r>
      <w:r>
        <w:rPr>
          <w:rFonts w:cs="David CLM" w:ascii="David CLM" w:hAnsi="David CLM"/>
          <w:rtl w:val="true"/>
          <w:lang w:bidi="he-IL"/>
        </w:rPr>
        <w:t>-</w:t>
      </w:r>
      <w:r>
        <w:rPr>
          <w:rFonts w:ascii="David CLM" w:hAnsi="David CLM"/>
          <w:rtl w:val="true"/>
          <w:lang w:bidi="he-IL"/>
        </w:rPr>
        <w:t>מחונך הוא לאדם המחונך</w:t>
      </w:r>
      <w:r>
        <w:rPr>
          <w:rFonts w:cs="David CLM" w:ascii="David CLM" w:hAnsi="David CLM"/>
          <w:rtl w:val="true"/>
          <w:lang w:bidi="he-IL"/>
        </w:rPr>
        <w:t xml:space="preserve">; </w:t>
      </w:r>
      <w:r>
        <w:rPr>
          <w:rFonts w:ascii="David CLM" w:hAnsi="David CLM"/>
          <w:rtl w:val="true"/>
          <w:lang w:bidi="he-IL"/>
        </w:rPr>
        <w:t>מה שגוש הארד הוא לפסל</w:t>
      </w:r>
      <w:r>
        <w:rPr>
          <w:rStyle w:val="FootnoteAnchor"/>
          <w:rFonts w:ascii="David CLM" w:hAnsi="David CLM"/>
          <w:rtl w:val="true"/>
          <w:lang w:bidi="he-IL"/>
        </w:rPr>
        <w:footnoteReference w:id="7"/>
      </w:r>
      <w:r>
        <w:rPr>
          <w:rFonts w:cs="David CLM" w:ascii="David CLM" w:hAnsi="David CLM"/>
          <w:rtl w:val="true"/>
          <w:lang w:bidi="he-IL"/>
        </w:rPr>
        <w:t xml:space="preserve">. </w:t>
      </w:r>
      <w:r>
        <w:rPr>
          <w:rFonts w:ascii="David CLM" w:hAnsi="David CLM"/>
          <w:rtl w:val="true"/>
          <w:lang w:bidi="he-IL"/>
        </w:rPr>
        <w:t>העצם</w:t>
      </w:r>
      <w:r>
        <w:rPr>
          <w:rFonts w:cs="David CLM" w:ascii="David CLM" w:hAnsi="David CLM"/>
          <w:rtl w:val="true"/>
          <w:lang w:bidi="he-IL"/>
        </w:rPr>
        <w:t xml:space="preserve">, </w:t>
      </w:r>
      <w:r>
        <w:rPr>
          <w:rFonts w:ascii="David CLM" w:hAnsi="David CLM"/>
          <w:rtl w:val="true"/>
          <w:lang w:bidi="he-IL"/>
        </w:rPr>
        <w:t>איפוא</w:t>
      </w:r>
      <w:r>
        <w:rPr>
          <w:rFonts w:cs="David CLM" w:ascii="David CLM" w:hAnsi="David CLM"/>
          <w:rtl w:val="true"/>
          <w:lang w:bidi="he-IL"/>
        </w:rPr>
        <w:t xml:space="preserve">, </w:t>
      </w:r>
      <w:r>
        <w:rPr>
          <w:rFonts w:ascii="David CLM" w:hAnsi="David CLM"/>
          <w:rtl w:val="true"/>
          <w:lang w:bidi="he-IL"/>
        </w:rPr>
        <w:t>הוא לא החומר</w:t>
      </w:r>
      <w:r>
        <w:rPr>
          <w:rFonts w:cs="David CLM" w:ascii="David CLM" w:hAnsi="David CLM"/>
          <w:rtl w:val="true"/>
          <w:lang w:bidi="he-IL"/>
        </w:rPr>
        <w:t xml:space="preserve">, </w:t>
      </w:r>
      <w:r>
        <w:rPr>
          <w:rFonts w:ascii="David CLM" w:hAnsi="David CLM"/>
          <w:rtl w:val="true"/>
          <w:lang w:bidi="he-IL"/>
        </w:rPr>
        <w:t>אלא מה שאותו החומר מממש</w:t>
      </w:r>
      <w:r>
        <w:rPr>
          <w:rFonts w:cs="David CLM" w:ascii="David CLM" w:hAnsi="David CLM"/>
          <w:rtl w:val="true"/>
          <w:lang w:bidi="he-IL"/>
        </w:rPr>
        <w:t xml:space="preserve">: </w:t>
      </w:r>
      <w:r>
        <w:rPr>
          <w:rFonts w:ascii="David CLM" w:hAnsi="David CLM"/>
          <w:rtl w:val="true"/>
          <w:lang w:bidi="he-IL"/>
        </w:rPr>
        <w:t>למעשה</w:t>
      </w:r>
      <w:r>
        <w:rPr>
          <w:rFonts w:cs="David CLM" w:ascii="David CLM" w:hAnsi="David CLM"/>
          <w:rtl w:val="true"/>
          <w:lang w:bidi="he-IL"/>
        </w:rPr>
        <w:t xml:space="preserve">, </w:t>
      </w:r>
      <w:r>
        <w:rPr>
          <w:rFonts w:ascii="David CLM" w:hAnsi="David CLM"/>
          <w:rtl w:val="true"/>
          <w:lang w:bidi="he-IL"/>
        </w:rPr>
        <w:t>אומר אריסטו</w:t>
      </w:r>
      <w:r>
        <w:rPr>
          <w:rFonts w:cs="David CLM" w:ascii="David CLM" w:hAnsi="David CLM"/>
          <w:rtl w:val="true"/>
          <w:lang w:bidi="he-IL"/>
        </w:rPr>
        <w:t xml:space="preserve">, </w:t>
      </w:r>
      <w:r>
        <w:rPr>
          <w:rFonts w:ascii="David CLM" w:hAnsi="David CLM"/>
          <w:rtl w:val="true"/>
          <w:lang w:bidi="he-IL"/>
        </w:rPr>
        <w:t>כשאנו מזהים דבר מה ככזה בכך שאנו נוקבים בשמו</w:t>
      </w:r>
      <w:r>
        <w:rPr>
          <w:rFonts w:cs="David CLM" w:ascii="David CLM" w:hAnsi="David CLM"/>
          <w:rtl w:val="true"/>
          <w:lang w:bidi="he-IL"/>
        </w:rPr>
        <w:t xml:space="preserve">, </w:t>
      </w:r>
      <w:r>
        <w:rPr>
          <w:rFonts w:ascii="David CLM" w:hAnsi="David CLM"/>
          <w:rtl w:val="true"/>
          <w:lang w:bidi="he-IL"/>
        </w:rPr>
        <w:t>איננו מזהים את החומר</w:t>
      </w:r>
      <w:r>
        <w:rPr>
          <w:rFonts w:cs="David CLM" w:ascii="David CLM" w:hAnsi="David CLM"/>
          <w:rtl w:val="true"/>
          <w:lang w:bidi="he-IL"/>
        </w:rPr>
        <w:t xml:space="preserve">, </w:t>
      </w:r>
      <w:r>
        <w:rPr>
          <w:rFonts w:ascii="David CLM" w:hAnsi="David CLM"/>
          <w:rtl w:val="true"/>
          <w:lang w:bidi="he-IL"/>
        </w:rPr>
        <w:t>אלא את הדבר שאותו החומר תוחם</w:t>
      </w:r>
      <w:r>
        <w:rPr>
          <w:rFonts w:cs="David CLM" w:ascii="David CLM" w:hAnsi="David CLM"/>
          <w:rtl w:val="true"/>
          <w:lang w:bidi="he-IL"/>
        </w:rPr>
        <w:t xml:space="preserve">, </w:t>
      </w:r>
      <w:r>
        <w:rPr>
          <w:rFonts w:ascii="David CLM" w:hAnsi="David CLM"/>
          <w:rtl w:val="true"/>
          <w:lang w:bidi="he-IL"/>
        </w:rPr>
        <w:t>האופן שבו החומר יכול להתממש</w:t>
      </w:r>
      <w:r>
        <w:rPr>
          <w:rFonts w:cs="David CLM" w:ascii="David CLM" w:hAnsi="David CLM"/>
          <w:rtl w:val="true"/>
          <w:lang w:bidi="he-IL"/>
        </w:rPr>
        <w:t xml:space="preserve">: </w:t>
      </w:r>
      <w:r>
        <w:rPr>
          <w:rFonts w:ascii="David CLM" w:hAnsi="David CLM"/>
          <w:rtl w:val="true"/>
          <w:lang w:bidi="he-IL"/>
        </w:rPr>
        <w:t>הצורה</w:t>
      </w:r>
      <w:r>
        <w:rPr>
          <w:rStyle w:val="FootnoteAnchor"/>
          <w:rFonts w:ascii="David CLM" w:hAnsi="David CLM"/>
          <w:rtl w:val="true"/>
          <w:lang w:bidi="he-IL"/>
        </w:rPr>
        <w:footnoteReference w:id="8"/>
      </w:r>
      <w:r>
        <w:rPr>
          <w:rFonts w:cs="David CLM" w:ascii="David CLM" w:hAnsi="David CLM"/>
          <w:rtl w:val="true"/>
          <w:lang w:bidi="he-IL"/>
        </w:rPr>
        <w:t xml:space="preserve">. </w:t>
      </w:r>
      <w:r>
        <w:rPr>
          <w:rFonts w:ascii="David CLM" w:hAnsi="David CLM"/>
          <w:rtl w:val="true"/>
          <w:lang w:bidi="he-IL"/>
        </w:rPr>
        <w:t xml:space="preserve">החומר אינו אלא המצע הראשוני אשר טומן בחובו את האפשרות </w:t>
      </w:r>
      <w:r>
        <w:rPr>
          <w:rFonts w:cs="David CLM" w:ascii="David CLM" w:hAnsi="David CLM"/>
          <w:rtl w:val="true"/>
          <w:lang w:bidi="he-IL"/>
        </w:rPr>
        <w:t>(</w:t>
      </w:r>
      <w:r>
        <w:rPr>
          <w:rFonts w:cs="David CLM"/>
          <w:lang w:bidi="he-IL"/>
        </w:rPr>
        <w:t>δύναμις</w:t>
      </w:r>
      <w:r>
        <w:rPr>
          <w:rFonts w:cs="David CLM" w:ascii="David CLM" w:hAnsi="David CLM"/>
          <w:rtl w:val="true"/>
          <w:lang w:bidi="he-IL"/>
        </w:rPr>
        <w:t xml:space="preserve">) </w:t>
      </w:r>
      <w:r>
        <w:rPr>
          <w:rFonts w:ascii="David CLM" w:hAnsi="David CLM"/>
          <w:rtl w:val="true"/>
          <w:lang w:bidi="he-IL"/>
        </w:rPr>
        <w:t>להתממש לאותו הדבר שאנו מזהים</w:t>
      </w:r>
      <w:r>
        <w:rPr>
          <w:rFonts w:cs="David CLM" w:ascii="David CLM" w:hAnsi="David CLM"/>
          <w:rtl w:val="true"/>
          <w:lang w:bidi="he-IL"/>
        </w:rPr>
        <w:t>.</w:t>
      </w:r>
    </w:p>
    <w:p>
      <w:pPr>
        <w:pStyle w:val="Philosophy"/>
        <w:bidi w:val="1"/>
        <w:rPr/>
      </w:pPr>
      <w:r>
        <w:rPr>
          <w:rtl w:val="true"/>
        </w:rPr>
        <w:t>הצורה היא האופן שבו אותו הדבר יכול להתממש</w:t>
      </w:r>
      <w:r>
        <w:rPr>
          <w:rtl w:val="true"/>
        </w:rPr>
        <w:t xml:space="preserve">, </w:t>
      </w:r>
      <w:r>
        <w:rPr>
          <w:rtl w:val="true"/>
        </w:rPr>
        <w:t>התנועות והשינויים שהוא יכול לעבור בהיותו מה שהוא</w:t>
      </w:r>
      <w:r>
        <w:rPr>
          <w:rtl w:val="true"/>
        </w:rPr>
        <w:t xml:space="preserve">, </w:t>
      </w:r>
      <w:r>
        <w:rPr>
          <w:rtl w:val="true"/>
        </w:rPr>
        <w:t>וה</w:t>
      </w:r>
      <w:r>
        <w:rPr>
          <w:rtl w:val="true"/>
        </w:rPr>
        <w:t>'</w:t>
      </w:r>
      <w:r>
        <w:rPr>
          <w:rtl w:val="true"/>
        </w:rPr>
        <w:t>לשם</w:t>
      </w:r>
      <w:r>
        <w:rPr>
          <w:rtl w:val="true"/>
        </w:rPr>
        <w:t>-</w:t>
      </w:r>
      <w:r>
        <w:rPr>
          <w:rtl w:val="true"/>
        </w:rPr>
        <w:t>מה</w:t>
      </w:r>
      <w:r>
        <w:rPr>
          <w:rtl w:val="true"/>
        </w:rPr>
        <w:t xml:space="preserve">' </w:t>
      </w:r>
      <w:r>
        <w:rPr>
          <w:rtl w:val="true"/>
        </w:rPr>
        <w:t>אליו הוא שואף</w:t>
      </w:r>
      <w:r>
        <w:rPr>
          <w:rtl w:val="true"/>
        </w:rPr>
        <w:t xml:space="preserve">. </w:t>
      </w:r>
      <w:r>
        <w:rPr>
          <w:rtl w:val="true"/>
        </w:rPr>
        <w:t>בניגוד לחומר</w:t>
      </w:r>
      <w:r>
        <w:rPr>
          <w:rtl w:val="true"/>
        </w:rPr>
        <w:t xml:space="preserve">, </w:t>
      </w:r>
      <w:r>
        <w:rPr>
          <w:rtl w:val="true"/>
        </w:rPr>
        <w:t>הצורה היא מסוימת</w:t>
      </w:r>
      <w:r>
        <w:rPr>
          <w:rtl w:val="true"/>
        </w:rPr>
        <w:t xml:space="preserve">: </w:t>
      </w:r>
      <w:r>
        <w:rPr>
          <w:rtl w:val="true"/>
        </w:rPr>
        <w:t>היא חלק בלתי נפרד מהמהות של כל דבר באשר הוא – והיא זו שקובעת את זהותו</w:t>
      </w:r>
      <w:r>
        <w:rPr>
          <w:rStyle w:val="FootnoteAnchor"/>
          <w:rtl w:val="true"/>
        </w:rPr>
        <w:footnoteReference w:id="9"/>
      </w:r>
      <w:r>
        <w:rPr>
          <w:rtl w:val="true"/>
        </w:rPr>
        <w:t xml:space="preserve">. </w:t>
      </w:r>
      <w:r>
        <w:rPr>
          <w:rtl w:val="true"/>
        </w:rPr>
        <w:t>אלא שבהיעדר חומר ראשוני</w:t>
      </w:r>
      <w:r>
        <w:rPr>
          <w:rtl w:val="true"/>
        </w:rPr>
        <w:t xml:space="preserve">, </w:t>
      </w:r>
      <w:r>
        <w:rPr>
          <w:rtl w:val="true"/>
        </w:rPr>
        <w:t>כאמור</w:t>
      </w:r>
      <w:r>
        <w:rPr>
          <w:rtl w:val="true"/>
        </w:rPr>
        <w:t xml:space="preserve">, </w:t>
      </w:r>
      <w:r>
        <w:rPr>
          <w:rtl w:val="true"/>
        </w:rPr>
        <w:t>אין כל מימוש</w:t>
      </w:r>
      <w:r>
        <w:rPr>
          <w:rtl w:val="true"/>
        </w:rPr>
        <w:t xml:space="preserve">, </w:t>
      </w:r>
      <w:r>
        <w:rPr>
          <w:rtl w:val="true"/>
        </w:rPr>
        <w:t>ואין כל עצם – אין די בצורה בכדי להסביר את מהותו של כל דבר באשר הוא</w:t>
      </w:r>
      <w:r>
        <w:rPr>
          <w:rtl w:val="true"/>
        </w:rPr>
        <w:t>.</w:t>
      </w:r>
    </w:p>
    <w:p>
      <w:pPr>
        <w:pStyle w:val="Philosophy"/>
        <w:bidi w:val="1"/>
        <w:rPr/>
      </w:pPr>
      <w:r>
        <w:rPr>
          <w:rtl w:val="true"/>
        </w:rPr>
        <w:tab/>
      </w:r>
      <w:r>
        <w:rPr>
          <w:rtl w:val="true"/>
        </w:rPr>
        <w:t>העצם</w:t>
      </w:r>
      <w:r>
        <w:rPr>
          <w:rtl w:val="true"/>
        </w:rPr>
        <w:t xml:space="preserve">, </w:t>
      </w:r>
      <w:r>
        <w:rPr>
          <w:rtl w:val="true"/>
        </w:rPr>
        <w:t>איפוא</w:t>
      </w:r>
      <w:r>
        <w:rPr>
          <w:rtl w:val="true"/>
        </w:rPr>
        <w:t xml:space="preserve">, </w:t>
      </w:r>
      <w:r>
        <w:rPr>
          <w:rtl w:val="true"/>
        </w:rPr>
        <w:t>הוא התרכובת בין החומר לצורה</w:t>
      </w:r>
      <w:r>
        <w:rPr>
          <w:rStyle w:val="FootnoteAnchor"/>
          <w:rtl w:val="true"/>
        </w:rPr>
        <w:footnoteReference w:id="10"/>
      </w:r>
      <w:r>
        <w:rPr>
          <w:rtl w:val="true"/>
        </w:rPr>
        <w:t xml:space="preserve">: </w:t>
      </w:r>
      <w:r>
        <w:rPr>
          <w:rtl w:val="true"/>
        </w:rPr>
        <w:t>החומר לבדו הוא רק המצב ההתחלתי</w:t>
      </w:r>
      <w:r>
        <w:rPr>
          <w:rtl w:val="true"/>
        </w:rPr>
        <w:t xml:space="preserve">, </w:t>
      </w:r>
      <w:r>
        <w:rPr>
          <w:rtl w:val="true"/>
        </w:rPr>
        <w:t>הבלתי מסוים</w:t>
      </w:r>
      <w:r>
        <w:rPr>
          <w:rtl w:val="true"/>
        </w:rPr>
        <w:t xml:space="preserve">, </w:t>
      </w:r>
      <w:r>
        <w:rPr>
          <w:rtl w:val="true"/>
        </w:rPr>
        <w:t xml:space="preserve">אשר ממנו הווים הדברים </w:t>
      </w:r>
      <w:r>
        <w:rPr>
          <w:rtl w:val="true"/>
        </w:rPr>
        <w:t xml:space="preserve">- </w:t>
      </w:r>
      <w:r>
        <w:rPr>
          <w:rtl w:val="true"/>
        </w:rPr>
        <w:t>ולכן אינו יכול לעמוד בפני עצמו</w:t>
      </w:r>
      <w:r>
        <w:rPr>
          <w:rtl w:val="true"/>
        </w:rPr>
        <w:t xml:space="preserve">; </w:t>
      </w:r>
      <w:r>
        <w:rPr>
          <w:rtl w:val="true"/>
        </w:rPr>
        <w:t>הצורה</w:t>
      </w:r>
      <w:r>
        <w:rPr>
          <w:rtl w:val="true"/>
        </w:rPr>
        <w:t xml:space="preserve">, </w:t>
      </w:r>
      <w:r>
        <w:rPr>
          <w:rtl w:val="true"/>
        </w:rPr>
        <w:t>מנגד</w:t>
      </w:r>
      <w:r>
        <w:rPr>
          <w:rtl w:val="true"/>
        </w:rPr>
        <w:t xml:space="preserve">, </w:t>
      </w:r>
      <w:r>
        <w:rPr>
          <w:rtl w:val="true"/>
        </w:rPr>
        <w:t>היא מסוימת ועצמאית</w:t>
      </w:r>
      <w:r>
        <w:rPr>
          <w:rtl w:val="true"/>
        </w:rPr>
        <w:t xml:space="preserve">, </w:t>
      </w:r>
      <w:r>
        <w:rPr>
          <w:rtl w:val="true"/>
        </w:rPr>
        <w:t>איך אינה יכולה לבוא לכדי ביטוי בהיעדר חומר שביכולתו לממש אותה</w:t>
      </w:r>
      <w:r>
        <w:rPr>
          <w:rtl w:val="true"/>
        </w:rPr>
        <w:t xml:space="preserve">. </w:t>
      </w:r>
      <w:r>
        <w:rPr>
          <w:rtl w:val="true"/>
        </w:rPr>
        <w:t>אך האם די בתרכובת זו להסביר את הדברים השונים אשר הווים בעולם</w:t>
      </w:r>
      <w:r>
        <w:rPr>
          <w:rtl w:val="true"/>
        </w:rPr>
        <w:t xml:space="preserve">? </w:t>
      </w:r>
      <w:r>
        <w:rPr>
          <w:rtl w:val="true"/>
        </w:rPr>
        <w:t>כאשר מדובר בעצמים דוממים</w:t>
      </w:r>
      <w:r>
        <w:rPr>
          <w:rtl w:val="true"/>
        </w:rPr>
        <w:t xml:space="preserve">, </w:t>
      </w:r>
      <w:r>
        <w:rPr>
          <w:rtl w:val="true"/>
        </w:rPr>
        <w:t xml:space="preserve">הגדרה זו מספקת </w:t>
      </w:r>
      <w:r>
        <w:rPr>
          <w:rtl w:val="true"/>
        </w:rPr>
        <w:t xml:space="preserve">- </w:t>
      </w:r>
      <w:r>
        <w:rPr>
          <w:rtl w:val="true"/>
        </w:rPr>
        <w:t>אך כשמדובר על בעלי חיים וצמחים</w:t>
      </w:r>
      <w:r>
        <w:rPr>
          <w:rtl w:val="true"/>
        </w:rPr>
        <w:t xml:space="preserve">, </w:t>
      </w:r>
      <w:r>
        <w:rPr>
          <w:rtl w:val="true"/>
        </w:rPr>
        <w:t>גם באלו אין די</w:t>
      </w:r>
      <w:r>
        <w:rPr>
          <w:rtl w:val="true"/>
        </w:rPr>
        <w:t xml:space="preserve">: </w:t>
      </w:r>
      <w:r>
        <w:rPr>
          <w:rtl w:val="true"/>
        </w:rPr>
        <w:t>נוכחותו של חומר בעל אפשרות להתממש</w:t>
      </w:r>
      <w:r>
        <w:rPr>
          <w:rtl w:val="true"/>
        </w:rPr>
        <w:t xml:space="preserve">, </w:t>
      </w:r>
      <w:r>
        <w:rPr>
          <w:rtl w:val="true"/>
        </w:rPr>
        <w:t>יחד עם הצורה הקובעת כיצד תתממש אפשרות זו</w:t>
      </w:r>
      <w:r>
        <w:rPr>
          <w:rtl w:val="true"/>
        </w:rPr>
        <w:t xml:space="preserve">, </w:t>
      </w:r>
      <w:r>
        <w:rPr>
          <w:rtl w:val="true"/>
        </w:rPr>
        <w:t>אינה מבטיחה שמימוש כזה אכן יתרחש</w:t>
      </w:r>
      <w:r>
        <w:rPr>
          <w:rtl w:val="true"/>
        </w:rPr>
        <w:t xml:space="preserve">. </w:t>
      </w:r>
    </w:p>
    <w:p>
      <w:pPr>
        <w:pStyle w:val="Philosophy"/>
        <w:bidi w:val="1"/>
        <w:rPr/>
      </w:pPr>
      <w:r>
        <w:rPr>
          <w:rtl w:val="true"/>
        </w:rPr>
        <w:t xml:space="preserve"> </w:t>
      </w:r>
      <w:r>
        <w:rPr>
          <w:rtl w:val="true"/>
        </w:rPr>
        <w:t>עצמים דוממים נושאים צורה כלשהי – אופן כלשהו שבו הם יכולים להתממש</w:t>
      </w:r>
      <w:r>
        <w:rPr>
          <w:rtl w:val="true"/>
        </w:rPr>
        <w:t xml:space="preserve">: </w:t>
      </w:r>
      <w:r>
        <w:rPr>
          <w:rtl w:val="true"/>
        </w:rPr>
        <w:t>שולחן</w:t>
      </w:r>
      <w:r>
        <w:rPr>
          <w:rtl w:val="true"/>
        </w:rPr>
        <w:t xml:space="preserve">, </w:t>
      </w:r>
      <w:r>
        <w:rPr>
          <w:rtl w:val="true"/>
        </w:rPr>
        <w:t>למשל</w:t>
      </w:r>
      <w:r>
        <w:rPr>
          <w:rtl w:val="true"/>
        </w:rPr>
        <w:t xml:space="preserve">, </w:t>
      </w:r>
      <w:r>
        <w:rPr>
          <w:rtl w:val="true"/>
        </w:rPr>
        <w:t>יכול להיות גבוה או נמוך</w:t>
      </w:r>
      <w:r>
        <w:rPr>
          <w:rtl w:val="true"/>
        </w:rPr>
        <w:t xml:space="preserve">, </w:t>
      </w:r>
      <w:r>
        <w:rPr>
          <w:rtl w:val="true"/>
        </w:rPr>
        <w:t>ארוך או קצר</w:t>
      </w:r>
      <w:r>
        <w:rPr>
          <w:rtl w:val="true"/>
        </w:rPr>
        <w:t xml:space="preserve">, </w:t>
      </w:r>
      <w:r>
        <w:rPr>
          <w:rtl w:val="true"/>
        </w:rPr>
        <w:t>בעל ארבע רגליים או שלוש</w:t>
      </w:r>
      <w:r>
        <w:rPr>
          <w:rtl w:val="true"/>
        </w:rPr>
        <w:t xml:space="preserve">. </w:t>
      </w:r>
      <w:r>
        <w:rPr>
          <w:rtl w:val="true"/>
        </w:rPr>
        <w:t>אילו נממש אחד מאופנים אלו באמצעות החומר – בין שעץ</w:t>
      </w:r>
      <w:r>
        <w:rPr>
          <w:rtl w:val="true"/>
        </w:rPr>
        <w:t xml:space="preserve">, </w:t>
      </w:r>
      <w:r>
        <w:rPr>
          <w:rtl w:val="true"/>
        </w:rPr>
        <w:t>מתכת או חומר נוסף – ניוותר עם שולחן</w:t>
      </w:r>
      <w:r>
        <w:rPr>
          <w:rtl w:val="true"/>
        </w:rPr>
        <w:t xml:space="preserve">. </w:t>
      </w:r>
      <w:r>
        <w:rPr>
          <w:rtl w:val="true"/>
        </w:rPr>
        <w:t>אך כשמדובר בעצמים מן החי או מן הצומח</w:t>
      </w:r>
      <w:r>
        <w:rPr>
          <w:rtl w:val="true"/>
        </w:rPr>
        <w:t xml:space="preserve">, </w:t>
      </w:r>
      <w:r>
        <w:rPr>
          <w:rtl w:val="true"/>
        </w:rPr>
        <w:t>דוגמת עץ אלון</w:t>
      </w:r>
      <w:r>
        <w:rPr>
          <w:rtl w:val="true"/>
        </w:rPr>
        <w:t xml:space="preserve">, </w:t>
      </w:r>
      <w:r>
        <w:rPr>
          <w:rtl w:val="true"/>
        </w:rPr>
        <w:t>נוכחותו של חומר בעל פוטנציאל להתממש – בלוט האלון – יחד עם צורה שבה הוא יכול להתממש – עץ אלון אדיר מימדים – אינה מספקת לכינונו של העצם</w:t>
      </w:r>
      <w:r>
        <w:rPr>
          <w:rtl w:val="true"/>
        </w:rPr>
        <w:t xml:space="preserve">. </w:t>
      </w:r>
      <w:r>
        <w:rPr>
          <w:rtl w:val="true"/>
        </w:rPr>
        <w:t>עץ האלון הוא לא בלוט שיכול לצמוח – הוא בלוט שצמח זה מכבר</w:t>
      </w:r>
      <w:r>
        <w:rPr>
          <w:rtl w:val="true"/>
        </w:rPr>
        <w:t xml:space="preserve">. </w:t>
      </w:r>
      <w:r>
        <w:rPr>
          <w:rtl w:val="true"/>
        </w:rPr>
        <w:t>בניגוד לעצמים המלאכותיים</w:t>
      </w:r>
      <w:r>
        <w:rPr>
          <w:rtl w:val="true"/>
        </w:rPr>
        <w:t xml:space="preserve">, </w:t>
      </w:r>
      <w:r>
        <w:rPr>
          <w:rtl w:val="true"/>
        </w:rPr>
        <w:t>איש אינו יכול לעצב עץ אלון מן הבלוט בכוח</w:t>
      </w:r>
      <w:r>
        <w:rPr>
          <w:rtl w:val="true"/>
        </w:rPr>
        <w:t xml:space="preserve">, </w:t>
      </w:r>
      <w:r>
        <w:rPr>
          <w:rtl w:val="true"/>
        </w:rPr>
        <w:t>או לקבוע לאיזה מן עץ ייצמח</w:t>
      </w:r>
      <w:r>
        <w:rPr>
          <w:rtl w:val="true"/>
        </w:rPr>
        <w:t>.</w:t>
      </w:r>
    </w:p>
    <w:p>
      <w:pPr>
        <w:pStyle w:val="Philosophy"/>
        <w:bidi w:val="1"/>
        <w:rPr/>
      </w:pPr>
      <w:r>
        <w:rPr>
          <w:rtl w:val="true"/>
        </w:rPr>
        <w:t xml:space="preserve"> </w:t>
      </w:r>
      <w:r>
        <w:rPr>
          <w:rtl w:val="true"/>
        </w:rPr>
        <w:t>העצמים הטבעיים נושאים מהות נוספת – הם חותרים בדחף פנימי למימוש מושלם כלשהו – הגשמת ה</w:t>
      </w:r>
      <w:r>
        <w:rPr>
          <w:rtl w:val="true"/>
        </w:rPr>
        <w:t>'</w:t>
      </w:r>
      <w:r>
        <w:rPr>
          <w:rtl w:val="true"/>
        </w:rPr>
        <w:t>לשם מה</w:t>
      </w:r>
      <w:r>
        <w:rPr>
          <w:rtl w:val="true"/>
        </w:rPr>
        <w:t xml:space="preserve">' </w:t>
      </w:r>
      <w:r>
        <w:rPr>
          <w:rtl w:val="true"/>
        </w:rPr>
        <w:t>שלהם</w:t>
      </w:r>
      <w:r>
        <w:rPr>
          <w:rtl w:val="true"/>
        </w:rPr>
        <w:t xml:space="preserve">. </w:t>
      </w:r>
      <w:r>
        <w:rPr>
          <w:rtl w:val="true"/>
        </w:rPr>
        <w:t xml:space="preserve">מימוש מלא זה הוא התכלית </w:t>
      </w:r>
      <w:r>
        <w:rPr>
          <w:rtl w:val="true"/>
        </w:rPr>
        <w:t>(</w:t>
      </w:r>
      <w:r>
        <w:rPr>
          <w:lang w:val="grc-GR"/>
        </w:rPr>
        <w:t>τέλος</w:t>
      </w:r>
      <w:r>
        <w:rPr>
          <w:rtl w:val="true"/>
        </w:rPr>
        <w:t xml:space="preserve">) </w:t>
      </w:r>
      <w:r>
        <w:rPr>
          <w:rtl w:val="true"/>
        </w:rPr>
        <w:t>של הישיים הטבעיים</w:t>
      </w:r>
      <w:r>
        <w:rPr>
          <w:rtl w:val="true"/>
        </w:rPr>
        <w:t xml:space="preserve">, </w:t>
      </w:r>
      <w:r>
        <w:rPr>
          <w:rtl w:val="true"/>
        </w:rPr>
        <w:t>ואלו חותרים לעברו בדחף פנימי כחלק ממהותם</w:t>
      </w:r>
      <w:r>
        <w:rPr>
          <w:rtl w:val="true"/>
        </w:rPr>
        <w:t xml:space="preserve">, </w:t>
      </w:r>
      <w:r>
        <w:rPr>
          <w:rtl w:val="true"/>
        </w:rPr>
        <w:t>מכוח עצמם בלבד</w:t>
      </w:r>
      <w:r>
        <w:rPr>
          <w:rtl w:val="true"/>
        </w:rPr>
        <w:t xml:space="preserve">. </w:t>
      </w:r>
      <w:r>
        <w:rPr>
          <w:rtl w:val="true"/>
        </w:rPr>
        <w:t xml:space="preserve">דחף זה הוא האנרגיה </w:t>
      </w:r>
      <w:r>
        <w:rPr>
          <w:rtl w:val="true"/>
        </w:rPr>
        <w:t>(</w:t>
      </w:r>
      <w:bookmarkStart w:id="4" w:name="firstHeading"/>
      <w:bookmarkEnd w:id="4"/>
      <w:r>
        <w:rPr/>
        <w:t>ἐνέργεια</w:t>
      </w:r>
      <w:r>
        <w:rPr>
          <w:rtl w:val="true"/>
        </w:rPr>
        <w:t xml:space="preserve">) – </w:t>
      </w:r>
      <w:r>
        <w:rPr>
          <w:rtl w:val="true"/>
        </w:rPr>
        <w:t>האופן שבו העצמים משתנים ופועלים לעבר מימוש התכלית</w:t>
      </w:r>
      <w:r>
        <w:rPr>
          <w:rtl w:val="true"/>
        </w:rPr>
        <w:t xml:space="preserve">. </w:t>
      </w:r>
      <w:r>
        <w:rPr>
          <w:rtl w:val="true"/>
        </w:rPr>
        <w:t>האנרגיה היא פועלם המתמשך של העצמים הטבעיים</w:t>
      </w:r>
      <w:r>
        <w:rPr>
          <w:rtl w:val="true"/>
        </w:rPr>
        <w:t xml:space="preserve">, </w:t>
      </w:r>
      <w:r>
        <w:rPr>
          <w:rtl w:val="true"/>
        </w:rPr>
        <w:t>על מנת להישאר הם עצמם – וככזו היא חלק בלתי נפרד מהמהות שלהם</w:t>
      </w:r>
      <w:r>
        <w:rPr>
          <w:rtl w:val="true"/>
        </w:rPr>
        <w:t>.</w:t>
      </w:r>
    </w:p>
    <w:p>
      <w:pPr>
        <w:pStyle w:val="Philosophy"/>
        <w:bidi w:val="1"/>
        <w:rPr/>
      </w:pPr>
      <w:r>
        <w:rPr>
          <w:rtl w:val="true"/>
        </w:rPr>
        <w:t>התכלית והחתירה המתמדת לעברה היא המבחינה בין הישיים הטבעיים למלאכותיים</w:t>
      </w:r>
      <w:r>
        <w:rPr>
          <w:rtl w:val="true"/>
        </w:rPr>
        <w:t xml:space="preserve">. </w:t>
      </w:r>
      <w:r>
        <w:rPr>
          <w:rtl w:val="true"/>
        </w:rPr>
        <w:t>מיטה העשויה מעץ אינה אלא חומר המעוצב בכוח מכני חיצוני בצורה מסוימת</w:t>
      </w:r>
      <w:r>
        <w:rPr>
          <w:rtl w:val="true"/>
        </w:rPr>
        <w:t xml:space="preserve">. </w:t>
      </w:r>
      <w:r>
        <w:rPr>
          <w:rtl w:val="true"/>
        </w:rPr>
        <w:t>החומר הוא מקרי לה – היא יכלה להיות מעוצבת מעץ</w:t>
      </w:r>
      <w:r>
        <w:rPr>
          <w:rtl w:val="true"/>
        </w:rPr>
        <w:t xml:space="preserve">, </w:t>
      </w:r>
      <w:r>
        <w:rPr>
          <w:rtl w:val="true"/>
        </w:rPr>
        <w:t>או מאבן</w:t>
      </w:r>
      <w:r>
        <w:rPr>
          <w:rtl w:val="true"/>
        </w:rPr>
        <w:t xml:space="preserve">, </w:t>
      </w:r>
      <w:r>
        <w:rPr>
          <w:rtl w:val="true"/>
        </w:rPr>
        <w:t>או מכל חומר אחר</w:t>
      </w:r>
      <w:r>
        <w:rPr>
          <w:rtl w:val="true"/>
        </w:rPr>
        <w:t xml:space="preserve">. </w:t>
      </w:r>
      <w:r>
        <w:rPr>
          <w:rtl w:val="true"/>
        </w:rPr>
        <w:t>האפשרות שלה להתממש</w:t>
      </w:r>
      <w:r>
        <w:rPr>
          <w:rtl w:val="true"/>
        </w:rPr>
        <w:t xml:space="preserve">, </w:t>
      </w:r>
      <w:r>
        <w:rPr>
          <w:rtl w:val="true"/>
        </w:rPr>
        <w:t>הצורה שלה</w:t>
      </w:r>
      <w:r>
        <w:rPr>
          <w:rtl w:val="true"/>
        </w:rPr>
        <w:t xml:space="preserve">, </w:t>
      </w:r>
      <w:r>
        <w:rPr>
          <w:rtl w:val="true"/>
        </w:rPr>
        <w:t>והתכלית שלה נקבעו שרירותית וחיצונית לה – באופן מסוים</w:t>
      </w:r>
      <w:r>
        <w:rPr>
          <w:rtl w:val="true"/>
        </w:rPr>
        <w:t xml:space="preserve">, </w:t>
      </w:r>
      <w:r>
        <w:rPr>
          <w:rtl w:val="true"/>
        </w:rPr>
        <w:t>הם מקריים אף הם</w:t>
      </w:r>
      <w:r>
        <w:rPr>
          <w:rtl w:val="true"/>
        </w:rPr>
        <w:t xml:space="preserve">. </w:t>
      </w:r>
      <w:r>
        <w:rPr>
          <w:rtl w:val="true"/>
        </w:rPr>
        <w:t>למעשה</w:t>
      </w:r>
      <w:r>
        <w:rPr>
          <w:rtl w:val="true"/>
        </w:rPr>
        <w:t xml:space="preserve">, </w:t>
      </w:r>
      <w:r>
        <w:rPr>
          <w:rtl w:val="true"/>
        </w:rPr>
        <w:t xml:space="preserve">הישיים המלאכותיים ישנם רק בחסדיהם של כוחות חיצוניים – אילו איש </w:t>
      </w:r>
      <w:r>
        <w:rPr>
          <w:rtl w:val="true"/>
        </w:rPr>
        <w:t>לא</w:t>
      </w:r>
      <w:r>
        <w:rPr>
          <w:rtl w:val="true"/>
        </w:rPr>
        <w:t xml:space="preserve"> היה קובע מה היא מיטה</w:t>
      </w:r>
      <w:r>
        <w:rPr>
          <w:rtl w:val="true"/>
        </w:rPr>
        <w:t xml:space="preserve">, </w:t>
      </w:r>
      <w:r>
        <w:rPr>
          <w:rtl w:val="true"/>
        </w:rPr>
        <w:t>מה תכליתה</w:t>
      </w:r>
      <w:r>
        <w:rPr>
          <w:rtl w:val="true"/>
        </w:rPr>
        <w:t xml:space="preserve">, </w:t>
      </w:r>
      <w:r>
        <w:rPr>
          <w:rtl w:val="true"/>
        </w:rPr>
        <w:t xml:space="preserve">ומעצב אחת כזו מחומר – </w:t>
      </w:r>
      <w:r>
        <w:rPr>
          <w:rtl w:val="true"/>
        </w:rPr>
        <w:t>'</w:t>
      </w:r>
      <w:r>
        <w:rPr>
          <w:rtl w:val="true"/>
        </w:rPr>
        <w:t>מיטה</w:t>
      </w:r>
      <w:r>
        <w:rPr>
          <w:rtl w:val="true"/>
        </w:rPr>
        <w:t xml:space="preserve">' </w:t>
      </w:r>
      <w:r>
        <w:rPr>
          <w:rtl w:val="true"/>
        </w:rPr>
        <w:t>פשוט לא הייתה</w:t>
      </w:r>
      <w:r>
        <w:rPr>
          <w:rtl w:val="true"/>
        </w:rPr>
        <w:t>.</w:t>
      </w:r>
    </w:p>
    <w:p>
      <w:pPr>
        <w:pStyle w:val="Philosophy"/>
        <w:bidi w:val="1"/>
        <w:rPr/>
      </w:pPr>
      <w:r>
        <w:rPr>
          <w:rtl w:val="true"/>
        </w:rPr>
        <w:t>מנגד</w:t>
      </w:r>
      <w:r>
        <w:rPr>
          <w:rtl w:val="true"/>
        </w:rPr>
        <w:t xml:space="preserve">, </w:t>
      </w:r>
      <w:r>
        <w:rPr>
          <w:rtl w:val="true"/>
        </w:rPr>
        <w:t>העץ ממנו עשויה המיטה אינו נקבע בחסדיהם של כוחות חיצוניים</w:t>
      </w:r>
      <w:r>
        <w:rPr>
          <w:rtl w:val="true"/>
        </w:rPr>
        <w:t xml:space="preserve">, </w:t>
      </w:r>
      <w:r>
        <w:rPr>
          <w:rtl w:val="true"/>
        </w:rPr>
        <w:t>אלא בדחף פנימי מולד במהותו</w:t>
      </w:r>
      <w:r>
        <w:rPr>
          <w:rtl w:val="true"/>
        </w:rPr>
        <w:t xml:space="preserve">. </w:t>
      </w:r>
      <w:r>
        <w:rPr>
          <w:rtl w:val="true"/>
        </w:rPr>
        <w:t>כל עוד הוא עץ</w:t>
      </w:r>
      <w:r>
        <w:rPr>
          <w:rtl w:val="true"/>
        </w:rPr>
        <w:t xml:space="preserve">, </w:t>
      </w:r>
      <w:r>
        <w:rPr>
          <w:rtl w:val="true"/>
        </w:rPr>
        <w:t>מתוקף היותו עץ</w:t>
      </w:r>
      <w:r>
        <w:rPr>
          <w:rtl w:val="true"/>
        </w:rPr>
        <w:t xml:space="preserve">, </w:t>
      </w:r>
      <w:r>
        <w:rPr>
          <w:rtl w:val="true"/>
        </w:rPr>
        <w:t>הוא יפזר את זרעיו</w:t>
      </w:r>
      <w:r>
        <w:rPr>
          <w:rtl w:val="true"/>
        </w:rPr>
        <w:t xml:space="preserve">; </w:t>
      </w:r>
      <w:r>
        <w:rPr>
          <w:rtl w:val="true"/>
        </w:rPr>
        <w:t>אלו יכו שורשים</w:t>
      </w:r>
      <w:r>
        <w:rPr>
          <w:rtl w:val="true"/>
        </w:rPr>
        <w:t xml:space="preserve">, </w:t>
      </w:r>
      <w:r>
        <w:rPr>
          <w:rtl w:val="true"/>
        </w:rPr>
        <w:t>וייצמחו מכוח עצמם</w:t>
      </w:r>
      <w:r>
        <w:rPr>
          <w:rtl w:val="true"/>
        </w:rPr>
        <w:t xml:space="preserve">; </w:t>
      </w:r>
      <w:r>
        <w:rPr>
          <w:rtl w:val="true"/>
        </w:rPr>
        <w:t>הם יעשו זאת עד אשר יהיו אף הם לעצים במלוא המובן – עם צמרת אדירה ומלבלבת</w:t>
      </w:r>
      <w:r>
        <w:rPr>
          <w:rtl w:val="true"/>
        </w:rPr>
        <w:t xml:space="preserve">. </w:t>
      </w:r>
      <w:r>
        <w:rPr>
          <w:rtl w:val="true"/>
        </w:rPr>
        <w:t>האופן שבו תהליך זה ייתרחש</w:t>
      </w:r>
      <w:r>
        <w:rPr>
          <w:rtl w:val="true"/>
        </w:rPr>
        <w:t xml:space="preserve">, </w:t>
      </w:r>
      <w:r>
        <w:rPr>
          <w:rtl w:val="true"/>
        </w:rPr>
        <w:t>והמצב אשר אליו יישאף להגיע</w:t>
      </w:r>
      <w:r>
        <w:rPr>
          <w:rtl w:val="true"/>
        </w:rPr>
        <w:t xml:space="preserve">, </w:t>
      </w:r>
      <w:r>
        <w:rPr>
          <w:rtl w:val="true"/>
        </w:rPr>
        <w:t>הם צורתו של העץ</w:t>
      </w:r>
      <w:r>
        <w:rPr>
          <w:rtl w:val="true"/>
        </w:rPr>
        <w:t xml:space="preserve">, </w:t>
      </w:r>
      <w:r>
        <w:rPr>
          <w:rtl w:val="true"/>
        </w:rPr>
        <w:t>בלתי נפרדת ממהותו</w:t>
      </w:r>
      <w:r>
        <w:rPr>
          <w:rtl w:val="true"/>
        </w:rPr>
        <w:t xml:space="preserve">: </w:t>
      </w:r>
      <w:r>
        <w:rPr>
          <w:rtl w:val="true"/>
        </w:rPr>
        <w:t>התהליך כולו הוא מה שהעץ צריך לעשות על מנת להמשיך ולהיות עץ בכלל</w:t>
      </w:r>
      <w:r>
        <w:rPr>
          <w:rtl w:val="true"/>
        </w:rPr>
        <w:t xml:space="preserve">. </w:t>
      </w:r>
      <w:r>
        <w:rPr>
          <w:rtl w:val="true"/>
        </w:rPr>
        <w:t>מרגע שהוא ייפסק – העץ יחדל מלהיות</w:t>
      </w:r>
      <w:r>
        <w:rPr>
          <w:rtl w:val="true"/>
        </w:rPr>
        <w:t xml:space="preserve">. </w:t>
      </w:r>
      <w:r>
        <w:rPr>
          <w:rtl w:val="true"/>
        </w:rPr>
        <w:t>תהליך זה בשלמותו הוא הטבע של העץ – מימוש הצורה שלו</w:t>
      </w:r>
      <w:r>
        <w:rPr>
          <w:rtl w:val="true"/>
        </w:rPr>
        <w:t xml:space="preserve">. </w:t>
      </w:r>
      <w:r>
        <w:rPr>
          <w:rtl w:val="true"/>
        </w:rPr>
        <w:t>החומר</w:t>
      </w:r>
      <w:r>
        <w:rPr>
          <w:rtl w:val="true"/>
        </w:rPr>
        <w:t xml:space="preserve">, </w:t>
      </w:r>
      <w:r>
        <w:rPr>
          <w:rtl w:val="true"/>
        </w:rPr>
        <w:t>האפשרות שלו להתממש</w:t>
      </w:r>
      <w:r>
        <w:rPr>
          <w:rtl w:val="true"/>
        </w:rPr>
        <w:t xml:space="preserve">, </w:t>
      </w:r>
      <w:r>
        <w:rPr>
          <w:rtl w:val="true"/>
        </w:rPr>
        <w:t>הצורה</w:t>
      </w:r>
      <w:r>
        <w:rPr>
          <w:rtl w:val="true"/>
        </w:rPr>
        <w:t xml:space="preserve">, </w:t>
      </w:r>
      <w:r>
        <w:rPr>
          <w:rtl w:val="true"/>
        </w:rPr>
        <w:t>התכלית שקובעת הצורה</w:t>
      </w:r>
      <w:r>
        <w:rPr>
          <w:rtl w:val="true"/>
        </w:rPr>
        <w:t xml:space="preserve">, </w:t>
      </w:r>
      <w:r>
        <w:rPr>
          <w:rtl w:val="true"/>
        </w:rPr>
        <w:t>ומימושה הפעיל בדחף האנרגיה כולם מתהווים לכדי הטבע</w:t>
      </w:r>
      <w:r>
        <w:rPr>
          <w:rtl w:val="true"/>
        </w:rPr>
        <w:t xml:space="preserve">, </w:t>
      </w:r>
      <w:r>
        <w:rPr>
          <w:rtl w:val="true"/>
        </w:rPr>
        <w:t>והתהליך כולו – על פי הטבע</w:t>
      </w:r>
      <w:r>
        <w:rPr>
          <w:rtl w:val="true"/>
        </w:rPr>
        <w:t>.</w:t>
      </w:r>
    </w:p>
    <w:p>
      <w:pPr>
        <w:pStyle w:val="Philosophy"/>
        <w:bidi w:val="1"/>
        <w:rPr/>
      </w:pPr>
      <w:r>
        <w:rPr>
          <w:rtl w:val="true"/>
          <w:lang w:bidi="he-IL"/>
        </w:rPr>
        <w:t>בהיותו יש טבעי</w:t>
      </w:r>
      <w:r>
        <w:rPr>
          <w:rFonts w:cs="David CLM"/>
          <w:rtl w:val="true"/>
          <w:lang w:bidi="he-IL"/>
        </w:rPr>
        <w:t xml:space="preserve">, </w:t>
      </w:r>
      <w:r>
        <w:rPr>
          <w:rtl w:val="true"/>
          <w:lang w:bidi="he-IL"/>
        </w:rPr>
        <w:t>גם לאדם יש טבע משלו – וכיוצא בזאת</w:t>
      </w:r>
      <w:r>
        <w:rPr>
          <w:rFonts w:cs="David CLM"/>
          <w:rtl w:val="true"/>
          <w:lang w:bidi="he-IL"/>
        </w:rPr>
        <w:t xml:space="preserve">, </w:t>
      </w:r>
      <w:r>
        <w:rPr>
          <w:rtl w:val="true"/>
          <w:lang w:bidi="he-IL"/>
        </w:rPr>
        <w:t>תכלית משלו</w:t>
      </w:r>
      <w:r>
        <w:rPr>
          <w:rFonts w:cs="David CLM"/>
          <w:rtl w:val="true"/>
          <w:lang w:bidi="he-IL"/>
        </w:rPr>
        <w:t xml:space="preserve">, </w:t>
      </w:r>
      <w:r>
        <w:rPr>
          <w:rtl w:val="true"/>
          <w:lang w:bidi="he-IL"/>
        </w:rPr>
        <w:t>ודחף פנימי להגשימה</w:t>
      </w:r>
      <w:r>
        <w:rPr>
          <w:rFonts w:cs="David CLM"/>
          <w:rtl w:val="true"/>
          <w:lang w:bidi="he-IL"/>
        </w:rPr>
        <w:t xml:space="preserve">. </w:t>
      </w:r>
      <w:r>
        <w:rPr>
          <w:rtl w:val="true"/>
          <w:lang w:bidi="he-IL"/>
        </w:rPr>
        <w:t>אך מהי תכליתו של האדם באשר הוא אדם</w:t>
      </w:r>
      <w:r>
        <w:rPr>
          <w:rFonts w:cs="David CLM"/>
          <w:rtl w:val="true"/>
          <w:lang w:bidi="he-IL"/>
        </w:rPr>
        <w:t xml:space="preserve">, </w:t>
      </w:r>
      <w:r>
        <w:rPr>
          <w:rtl w:val="true"/>
          <w:lang w:bidi="he-IL"/>
        </w:rPr>
        <w:t>וכיצד יעלה בכוחו לממש אותה</w:t>
      </w:r>
      <w:r>
        <w:rPr>
          <w:rFonts w:cs="David CLM"/>
          <w:rtl w:val="true"/>
          <w:lang w:bidi="he-IL"/>
        </w:rPr>
        <w:t xml:space="preserve">? </w:t>
      </w:r>
      <w:r>
        <w:rPr>
          <w:rtl w:val="true"/>
          <w:lang w:bidi="he-IL"/>
        </w:rPr>
        <w:t>זו השאלה שעוסק בה אריסטו ב</w:t>
      </w:r>
      <w:r>
        <w:rPr>
          <w:i/>
          <w:i/>
          <w:iCs/>
          <w:rtl w:val="true"/>
          <w:lang w:bidi="he-IL"/>
        </w:rPr>
        <w:t>אתיקה הניקומאכית</w:t>
      </w:r>
      <w:r>
        <w:rPr>
          <w:rFonts w:cs="David CLM"/>
          <w:i w:val="false"/>
          <w:iCs w:val="false"/>
          <w:rtl w:val="true"/>
          <w:lang w:bidi="he-IL"/>
        </w:rPr>
        <w:t xml:space="preserve">. </w:t>
      </w:r>
      <w:r>
        <w:rPr>
          <w:i w:val="false"/>
          <w:i w:val="false"/>
          <w:iCs w:val="false"/>
          <w:rtl w:val="true"/>
          <w:lang w:bidi="he-IL"/>
        </w:rPr>
        <w:t>בעוד שברפרוף ראשוני נדמה שה</w:t>
      </w:r>
      <w:r>
        <w:rPr>
          <w:i/>
          <w:i/>
          <w:iCs/>
          <w:rtl w:val="true"/>
          <w:lang w:bidi="he-IL"/>
        </w:rPr>
        <w:t>אתיקה</w:t>
      </w:r>
      <w:r>
        <w:rPr>
          <w:i w:val="false"/>
          <w:i w:val="false"/>
          <w:iCs w:val="false"/>
          <w:rtl w:val="true"/>
          <w:lang w:bidi="he-IL"/>
        </w:rPr>
        <w:t xml:space="preserve"> היא חקירה על המוסר</w:t>
      </w:r>
      <w:r>
        <w:rPr>
          <w:rFonts w:cs="David CLM"/>
          <w:i w:val="false"/>
          <w:iCs w:val="false"/>
          <w:rtl w:val="true"/>
          <w:lang w:bidi="he-IL"/>
        </w:rPr>
        <w:t xml:space="preserve">, </w:t>
      </w:r>
      <w:r>
        <w:rPr>
          <w:i w:val="false"/>
          <w:i w:val="false"/>
          <w:iCs w:val="false"/>
          <w:rtl w:val="true"/>
          <w:lang w:bidi="he-IL"/>
        </w:rPr>
        <w:t xml:space="preserve">היא עוסקת למעשה  </w:t>
      </w:r>
      <w:r>
        <w:rPr>
          <w:i w:val="false"/>
          <w:i w:val="false"/>
          <w:iCs w:val="false"/>
          <w:rtl w:val="true"/>
          <w:lang w:bidi="he-IL"/>
        </w:rPr>
        <w:t>ב</w:t>
      </w:r>
      <w:r>
        <w:rPr>
          <w:i w:val="false"/>
          <w:i w:val="false"/>
          <w:iCs w:val="false"/>
          <w:rtl w:val="true"/>
          <w:lang w:bidi="he-IL"/>
        </w:rPr>
        <w:t>טבע האדם במלואו</w:t>
      </w:r>
      <w:r>
        <w:rPr>
          <w:rFonts w:cs="David CLM"/>
          <w:i w:val="false"/>
          <w:iCs w:val="false"/>
          <w:rtl w:val="true"/>
          <w:lang w:bidi="he-IL"/>
        </w:rPr>
        <w:t xml:space="preserve">: </w:t>
      </w:r>
      <w:r>
        <w:rPr>
          <w:i w:val="false"/>
          <w:i w:val="false"/>
          <w:iCs w:val="false"/>
          <w:rtl w:val="true"/>
          <w:lang w:bidi="he-IL"/>
        </w:rPr>
        <w:t>החומר</w:t>
      </w:r>
      <w:r>
        <w:rPr>
          <w:rFonts w:cs="David CLM"/>
          <w:i w:val="false"/>
          <w:iCs w:val="false"/>
          <w:rtl w:val="true"/>
          <w:lang w:bidi="he-IL"/>
        </w:rPr>
        <w:t xml:space="preserve">, </w:t>
      </w:r>
      <w:r>
        <w:rPr>
          <w:i w:val="false"/>
          <w:i w:val="false"/>
          <w:iCs w:val="false"/>
          <w:rtl w:val="true"/>
          <w:lang w:bidi="he-IL"/>
        </w:rPr>
        <w:t>בדמותו של האדם הפועל על פי הדעה הרווחת</w:t>
      </w:r>
      <w:r>
        <w:rPr>
          <w:rFonts w:cs="David CLM"/>
          <w:i w:val="false"/>
          <w:iCs w:val="false"/>
          <w:rtl w:val="true"/>
          <w:lang w:bidi="he-IL"/>
        </w:rPr>
        <w:t xml:space="preserve">; </w:t>
      </w:r>
      <w:r>
        <w:rPr>
          <w:i w:val="false"/>
          <w:i w:val="false"/>
          <w:iCs w:val="false"/>
          <w:rtl w:val="true"/>
          <w:lang w:bidi="he-IL"/>
        </w:rPr>
        <w:t>הצורה</w:t>
      </w:r>
      <w:r>
        <w:rPr>
          <w:rFonts w:cs="David CLM"/>
          <w:i w:val="false"/>
          <w:iCs w:val="false"/>
          <w:rtl w:val="true"/>
          <w:lang w:bidi="he-IL"/>
        </w:rPr>
        <w:t xml:space="preserve">, </w:t>
      </w:r>
      <w:r>
        <w:rPr>
          <w:i w:val="false"/>
          <w:i w:val="false"/>
          <w:iCs w:val="false"/>
          <w:rtl w:val="true"/>
          <w:lang w:bidi="he-IL"/>
        </w:rPr>
        <w:t>בדמות האידאל שאותו אדם שואף אליו</w:t>
      </w:r>
      <w:r>
        <w:rPr>
          <w:rFonts w:cs="David CLM"/>
          <w:i w:val="false"/>
          <w:iCs w:val="false"/>
          <w:rtl w:val="true"/>
          <w:lang w:bidi="he-IL"/>
        </w:rPr>
        <w:t xml:space="preserve">, </w:t>
      </w:r>
      <w:r>
        <w:rPr>
          <w:i w:val="false"/>
          <w:i w:val="false"/>
          <w:iCs w:val="false"/>
          <w:rtl w:val="true"/>
          <w:lang w:bidi="he-IL"/>
        </w:rPr>
        <w:t>מתוקף היותו אדם – ‘האדם הטוב’</w:t>
      </w:r>
      <w:r>
        <w:rPr>
          <w:rFonts w:cs="David CLM"/>
          <w:i w:val="false"/>
          <w:iCs w:val="false"/>
          <w:rtl w:val="true"/>
          <w:lang w:bidi="he-IL"/>
        </w:rPr>
        <w:t xml:space="preserve">; </w:t>
      </w:r>
      <w:r>
        <w:rPr>
          <w:i w:val="false"/>
          <w:i w:val="false"/>
          <w:iCs w:val="false"/>
          <w:rtl w:val="true"/>
          <w:lang w:bidi="he-IL"/>
        </w:rPr>
        <w:t>והתכלית</w:t>
      </w:r>
      <w:r>
        <w:rPr>
          <w:rFonts w:cs="David CLM"/>
          <w:i w:val="false"/>
          <w:iCs w:val="false"/>
          <w:rtl w:val="true"/>
          <w:lang w:bidi="he-IL"/>
        </w:rPr>
        <w:t xml:space="preserve">, </w:t>
      </w:r>
      <w:r>
        <w:rPr>
          <w:i w:val="false"/>
          <w:i w:val="false"/>
          <w:iCs w:val="false"/>
          <w:rtl w:val="true"/>
          <w:lang w:bidi="he-IL"/>
        </w:rPr>
        <w:t>בדמותו של האושר אשר אליו שואף האדם בכל עשייתו</w:t>
      </w:r>
      <w:r>
        <w:rPr>
          <w:rFonts w:cs="David CLM"/>
          <w:i w:val="false"/>
          <w:iCs w:val="false"/>
          <w:rtl w:val="true"/>
          <w:lang w:bidi="he-IL"/>
        </w:rPr>
        <w:t xml:space="preserve">. </w:t>
      </w:r>
      <w:r>
        <w:rPr>
          <w:i w:val="false"/>
          <w:i w:val="false"/>
          <w:iCs w:val="false"/>
          <w:rtl w:val="true"/>
          <w:lang w:bidi="he-IL"/>
        </w:rPr>
        <w:t>לאור כל אלו</w:t>
      </w:r>
      <w:r>
        <w:rPr>
          <w:rFonts w:cs="David CLM"/>
          <w:i w:val="false"/>
          <w:iCs w:val="false"/>
          <w:rtl w:val="true"/>
          <w:lang w:bidi="he-IL"/>
        </w:rPr>
        <w:t xml:space="preserve">, </w:t>
      </w:r>
      <w:r>
        <w:rPr>
          <w:i w:val="false"/>
          <w:i w:val="false"/>
          <w:iCs w:val="false"/>
          <w:rtl w:val="true"/>
          <w:lang w:bidi="he-IL"/>
        </w:rPr>
        <w:t>ה</w:t>
      </w:r>
      <w:r>
        <w:rPr>
          <w:i/>
          <w:i/>
          <w:iCs/>
          <w:rtl w:val="true"/>
          <w:lang w:bidi="he-IL"/>
        </w:rPr>
        <w:t>אתיקה</w:t>
      </w:r>
      <w:r>
        <w:rPr>
          <w:i w:val="false"/>
          <w:i w:val="false"/>
          <w:iCs w:val="false"/>
          <w:rtl w:val="true"/>
          <w:lang w:bidi="he-IL"/>
        </w:rPr>
        <w:t xml:space="preserve"> עוסקת בחיים אשר על אותו אדם לנהל</w:t>
      </w:r>
      <w:r>
        <w:rPr>
          <w:rFonts w:cs="David CLM"/>
          <w:i w:val="false"/>
          <w:iCs w:val="false"/>
          <w:rtl w:val="true"/>
          <w:lang w:bidi="he-IL"/>
        </w:rPr>
        <w:t xml:space="preserve">, </w:t>
      </w:r>
      <w:r>
        <w:rPr>
          <w:i w:val="false"/>
          <w:i w:val="false"/>
          <w:iCs w:val="false"/>
          <w:rtl w:val="true"/>
          <w:lang w:bidi="he-IL"/>
        </w:rPr>
        <w:t>לפי הטבע</w:t>
      </w:r>
      <w:r>
        <w:rPr>
          <w:rFonts w:cs="David CLM"/>
          <w:i w:val="false"/>
          <w:iCs w:val="false"/>
          <w:rtl w:val="true"/>
          <w:lang w:bidi="he-IL"/>
        </w:rPr>
        <w:t xml:space="preserve">, </w:t>
      </w:r>
      <w:r>
        <w:rPr>
          <w:i w:val="false"/>
          <w:i w:val="false"/>
          <w:iCs w:val="false"/>
          <w:rtl w:val="true"/>
          <w:lang w:bidi="he-IL"/>
        </w:rPr>
        <w:t>על מנת לממש את צורתו באופן המושלם ביותר</w:t>
      </w:r>
      <w:r>
        <w:rPr>
          <w:rFonts w:cs="David CLM"/>
          <w:i w:val="false"/>
          <w:iCs w:val="false"/>
          <w:rtl w:val="true"/>
          <w:lang w:bidi="he-IL"/>
        </w:rPr>
        <w:t xml:space="preserve">, </w:t>
      </w:r>
      <w:r>
        <w:rPr>
          <w:i w:val="false"/>
          <w:i w:val="false"/>
          <w:iCs w:val="false"/>
          <w:rtl w:val="true"/>
          <w:lang w:bidi="he-IL"/>
        </w:rPr>
        <w:t>להגשים את טבעו – ולהיות אדם במלוא המובן</w:t>
      </w:r>
      <w:r>
        <w:rPr>
          <w:rFonts w:cs="David CLM"/>
          <w:i w:val="false"/>
          <w:iCs w:val="false"/>
          <w:rtl w:val="true"/>
          <w:lang w:bidi="he-IL"/>
        </w:rPr>
        <w:t xml:space="preserve">. </w:t>
      </w:r>
      <w:r>
        <w:rPr>
          <w:i w:val="false"/>
          <w:i w:val="false"/>
          <w:iCs w:val="false"/>
          <w:rtl w:val="true"/>
          <w:lang w:bidi="he-IL"/>
        </w:rPr>
        <w:t>על כתפיה של חקירת ההוויה ב</w:t>
      </w:r>
      <w:r>
        <w:rPr>
          <w:i/>
          <w:i/>
          <w:iCs/>
          <w:rtl w:val="true"/>
          <w:lang w:bidi="he-IL"/>
        </w:rPr>
        <w:t>מטאפיזיקה</w:t>
      </w:r>
      <w:r>
        <w:rPr>
          <w:i w:val="false"/>
          <w:i w:val="false"/>
          <w:iCs w:val="false"/>
          <w:rtl w:val="true"/>
          <w:lang w:bidi="he-IL"/>
        </w:rPr>
        <w:t xml:space="preserve"> וחקירת הטבע ב</w:t>
      </w:r>
      <w:r>
        <w:rPr>
          <w:i/>
          <w:i/>
          <w:iCs/>
          <w:rtl w:val="true"/>
          <w:lang w:bidi="he-IL"/>
        </w:rPr>
        <w:t>פיזיקה</w:t>
      </w:r>
      <w:r>
        <w:rPr>
          <w:i w:val="false"/>
          <w:i w:val="false"/>
          <w:iCs w:val="false"/>
          <w:rtl w:val="true"/>
          <w:lang w:bidi="he-IL"/>
        </w:rPr>
        <w:t xml:space="preserve"> מבקש אריסטו לענות על השאלה היוונית הקלאסית – מהם החיים הטובים</w:t>
      </w:r>
      <w:r>
        <w:rPr>
          <w:rFonts w:cs="David CLM"/>
          <w:i w:val="false"/>
          <w:iCs w:val="false"/>
          <w:rtl w:val="true"/>
          <w:lang w:bidi="he-IL"/>
        </w:rPr>
        <w:t xml:space="preserve">? </w:t>
      </w:r>
    </w:p>
    <w:p>
      <w:pPr>
        <w:pStyle w:val="Philosophy"/>
        <w:bidi w:val="1"/>
        <w:ind w:left="0" w:right="0" w:hanging="0"/>
        <w:rPr/>
      </w:pPr>
      <w:r>
        <w:rPr>
          <w:rFonts w:cs="David CLM"/>
          <w:rtl w:val="true"/>
        </w:rPr>
        <w:tab/>
      </w:r>
      <w:r>
        <w:rPr>
          <w:rFonts w:cs="David CLM"/>
          <w:i w:val="false"/>
          <w:iCs w:val="false"/>
          <w:rtl w:val="true"/>
        </w:rPr>
        <w:t xml:space="preserve"> </w:t>
      </w:r>
      <w:r>
        <w:rPr>
          <w:i w:val="false"/>
          <w:i w:val="false"/>
          <w:iCs w:val="false"/>
          <w:rtl w:val="true"/>
        </w:rPr>
        <w:t>כשם שעשה בכתביו הקודמים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אריסטו מתחיל את חקירתו בדעה הרווחת</w:t>
      </w:r>
      <w:r>
        <w:rPr>
          <w:rFonts w:cs="David CLM"/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על מנת לדעת מה הם החיים הטובים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עלינו לעמוד כמובן על מהו הטוב – וכך פותח אריסטו את ה</w:t>
      </w:r>
      <w:r>
        <w:rPr>
          <w:i/>
          <w:i/>
          <w:iCs/>
          <w:rtl w:val="true"/>
        </w:rPr>
        <w:t>אתיקה</w:t>
      </w:r>
      <w:r>
        <w:rPr>
          <w:rFonts w:cs="David CLM"/>
          <w:i w:val="false"/>
          <w:iCs w:val="false"/>
          <w:rtl w:val="true"/>
        </w:rPr>
        <w:t xml:space="preserve">.  </w:t>
      </w:r>
      <w:r>
        <w:rPr>
          <w:i w:val="false"/>
          <w:i w:val="false"/>
          <w:iCs w:val="false"/>
          <w:rtl w:val="true"/>
        </w:rPr>
        <w:t>את אותו הטוב מגדיר אריסטו כמושאה של כל העשייה האנושית – הדבר אליו שואפים כל עיסוקי האדם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בין אם לשמה של מטרה מסוימת ובין אם כשלעצמם</w:t>
      </w:r>
      <w:r>
        <w:rPr>
          <w:rStyle w:val="FootnoteAnchor"/>
          <w:i w:val="false"/>
          <w:i w:val="false"/>
          <w:iCs w:val="false"/>
          <w:rtl w:val="true"/>
        </w:rPr>
        <w:footnoteReference w:id="11"/>
      </w:r>
      <w:r>
        <w:rPr>
          <w:rFonts w:cs="David CLM"/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הטוב מוגדר כאן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למעשה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באמצעות האנרגיה – אם נעמוד על עבודתו של האדם באשר הוא אדם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סבור אריסטו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נוכל ללמוד </w:t>
      </w:r>
      <w:r>
        <w:rPr>
          <w:i w:val="false"/>
          <w:i w:val="false"/>
          <w:iCs w:val="false"/>
          <w:rtl w:val="true"/>
        </w:rPr>
        <w:t>ממנה</w:t>
      </w:r>
      <w:r>
        <w:rPr>
          <w:i w:val="false"/>
          <w:i w:val="false"/>
          <w:iCs w:val="false"/>
          <w:rtl w:val="true"/>
        </w:rPr>
        <w:t xml:space="preserve"> על אותה תכלית</w:t>
      </w:r>
      <w:r>
        <w:rPr>
          <w:rStyle w:val="FootnoteAnchor"/>
          <w:i w:val="false"/>
          <w:i w:val="false"/>
          <w:iCs w:val="false"/>
          <w:rtl w:val="true"/>
        </w:rPr>
        <w:footnoteReference w:id="12"/>
      </w:r>
      <w:r>
        <w:rPr>
          <w:rFonts w:cs="David CLM"/>
          <w:i w:val="false"/>
          <w:iCs w:val="false"/>
          <w:rtl w:val="true"/>
        </w:rPr>
        <w:t xml:space="preserve">. </w:t>
      </w:r>
    </w:p>
    <w:p>
      <w:pPr>
        <w:pStyle w:val="Philosophy"/>
        <w:bidi w:val="1"/>
        <w:ind w:left="0" w:right="0" w:hanging="0"/>
        <w:rPr/>
      </w:pPr>
      <w:r>
        <w:rPr>
          <w:rFonts w:cs="David CLM"/>
          <w:i w:val="false"/>
          <w:iCs w:val="false"/>
          <w:rtl w:val="true"/>
        </w:rPr>
        <w:tab/>
      </w:r>
      <w:r>
        <w:rPr>
          <w:i w:val="false"/>
          <w:i w:val="false"/>
          <w:iCs w:val="false"/>
          <w:rtl w:val="true"/>
        </w:rPr>
        <w:t>באשר לזהותה של התכלית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אריסטו תמים</w:t>
      </w:r>
      <w:r>
        <w:rPr>
          <w:rFonts w:cs="David CLM"/>
          <w:i w:val="false"/>
          <w:iCs w:val="false"/>
          <w:rtl w:val="true"/>
        </w:rPr>
        <w:t>-</w:t>
      </w:r>
      <w:r>
        <w:rPr>
          <w:i w:val="false"/>
          <w:i w:val="false"/>
          <w:iCs w:val="false"/>
          <w:rtl w:val="true"/>
        </w:rPr>
        <w:t>דעים עם הדעה הרווחת</w:t>
      </w:r>
      <w:r>
        <w:rPr>
          <w:rFonts w:cs="David CLM"/>
          <w:i w:val="false"/>
          <w:iCs w:val="false"/>
          <w:rtl w:val="true"/>
        </w:rPr>
        <w:t xml:space="preserve">: </w:t>
      </w:r>
      <w:r>
        <w:rPr>
          <w:i w:val="false"/>
          <w:i w:val="false"/>
          <w:iCs w:val="false"/>
          <w:rtl w:val="true"/>
        </w:rPr>
        <w:t>הרי שזהו האושר</w:t>
      </w:r>
      <w:r>
        <w:rPr>
          <w:rFonts w:cs="David CLM"/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אך מהו בכלל אותו האושר</w:t>
      </w:r>
      <w:r>
        <w:rPr>
          <w:rFonts w:cs="David CLM"/>
          <w:i w:val="false"/>
          <w:iCs w:val="false"/>
          <w:rtl w:val="true"/>
        </w:rPr>
        <w:t xml:space="preserve">? </w:t>
      </w:r>
      <w:r>
        <w:rPr>
          <w:i w:val="false"/>
          <w:i w:val="false"/>
          <w:iCs w:val="false"/>
          <w:rtl w:val="true"/>
        </w:rPr>
        <w:t>האדם העני יטען שזהו עושר</w:t>
      </w:r>
      <w:r>
        <w:rPr>
          <w:rFonts w:cs="David CLM"/>
          <w:i w:val="false"/>
          <w:iCs w:val="false"/>
          <w:rtl w:val="true"/>
        </w:rPr>
        <w:t xml:space="preserve">; </w:t>
      </w:r>
      <w:r>
        <w:rPr>
          <w:i w:val="false"/>
          <w:i w:val="false"/>
          <w:iCs w:val="false"/>
          <w:rtl w:val="true"/>
        </w:rPr>
        <w:t>האדם החולה יטען שזוהי הבריאות</w:t>
      </w:r>
      <w:r>
        <w:rPr>
          <w:rFonts w:cs="David CLM"/>
          <w:i w:val="false"/>
          <w:iCs w:val="false"/>
          <w:rtl w:val="true"/>
        </w:rPr>
        <w:t xml:space="preserve">; </w:t>
      </w:r>
      <w:r>
        <w:rPr>
          <w:i w:val="false"/>
          <w:i w:val="false"/>
          <w:iCs w:val="false"/>
          <w:rtl w:val="true"/>
        </w:rPr>
        <w:t>אחרים יגידו שהאושר הוא ההנאה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או דבר מה נשגב מעל כל אלו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שבזכותו מושאים דוגמת אלו מתקיימים</w:t>
      </w:r>
      <w:r>
        <w:rPr>
          <w:rStyle w:val="FootnoteAnchor"/>
          <w:i w:val="false"/>
          <w:i w:val="false"/>
          <w:iCs w:val="false"/>
          <w:rtl w:val="true"/>
        </w:rPr>
        <w:footnoteReference w:id="13"/>
      </w:r>
      <w:r>
        <w:rPr>
          <w:rFonts w:cs="David CLM"/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כשם שרבות ההגדרות לאושר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כך רבות גם הדעות באשר לחיים הטובים</w:t>
      </w:r>
      <w:r>
        <w:rPr>
          <w:rFonts w:cs="David CLM"/>
          <w:i w:val="false"/>
          <w:iCs w:val="false"/>
          <w:rtl w:val="true"/>
        </w:rPr>
        <w:t xml:space="preserve">: </w:t>
      </w:r>
      <w:r>
        <w:rPr>
          <w:i w:val="false"/>
          <w:i w:val="false"/>
          <w:iCs w:val="false"/>
          <w:rtl w:val="true"/>
        </w:rPr>
        <w:t>יש הטוענים שאלו חיי הנהנתנות</w:t>
      </w:r>
      <w:r>
        <w:rPr>
          <w:rFonts w:cs="David CLM"/>
          <w:i w:val="false"/>
          <w:iCs w:val="false"/>
          <w:rtl w:val="true"/>
        </w:rPr>
        <w:t xml:space="preserve">; </w:t>
      </w:r>
      <w:r>
        <w:rPr>
          <w:i w:val="false"/>
          <w:i w:val="false"/>
          <w:iCs w:val="false"/>
          <w:rtl w:val="true"/>
        </w:rPr>
        <w:t>אחרים ייטענו שאלו הם החיים הפוליטיים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ועוד אחרים יטענו שאלו החיים העיוניים</w:t>
      </w:r>
      <w:r>
        <w:rPr>
          <w:rStyle w:val="FootnoteAnchor"/>
          <w:i w:val="false"/>
          <w:i w:val="false"/>
          <w:iCs w:val="false"/>
          <w:rtl w:val="true"/>
        </w:rPr>
        <w:footnoteReference w:id="14"/>
      </w:r>
      <w:r>
        <w:rPr>
          <w:rFonts w:cs="David CLM"/>
          <w:i w:val="false"/>
          <w:iCs w:val="false"/>
          <w:rtl w:val="true"/>
        </w:rPr>
        <w:t xml:space="preserve">. </w:t>
      </w:r>
    </w:p>
    <w:p>
      <w:pPr>
        <w:pStyle w:val="Philosophy"/>
        <w:bidi w:val="1"/>
        <w:ind w:left="0" w:right="0" w:hanging="0"/>
        <w:rPr/>
      </w:pPr>
      <w:r>
        <w:rPr>
          <w:rFonts w:cs="David CLM"/>
          <w:i w:val="false"/>
          <w:iCs w:val="false"/>
          <w:rtl w:val="true"/>
        </w:rPr>
        <w:tab/>
      </w:r>
      <w:r>
        <w:rPr>
          <w:i w:val="false"/>
          <w:i w:val="false"/>
          <w:iCs w:val="false"/>
          <w:rtl w:val="true"/>
        </w:rPr>
        <w:t>ריבוי זה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טוען אריסטו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אינו מקרי – כשם שרבים אופני ההוויה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כך רבים גם אופניו של </w:t>
      </w:r>
      <w:r>
        <w:rPr>
          <w:rFonts w:cs="David CLM"/>
          <w:i w:val="false"/>
          <w:iCs w:val="false"/>
          <w:rtl w:val="true"/>
        </w:rPr>
        <w:t>'</w:t>
      </w:r>
      <w:r>
        <w:rPr>
          <w:i w:val="false"/>
          <w:i w:val="false"/>
          <w:iCs w:val="false"/>
          <w:rtl w:val="true"/>
        </w:rPr>
        <w:t>הטוב</w:t>
      </w:r>
      <w:r>
        <w:rPr>
          <w:rFonts w:cs="David CLM"/>
          <w:i w:val="false"/>
          <w:iCs w:val="false"/>
          <w:rtl w:val="true"/>
        </w:rPr>
        <w:t xml:space="preserve">': </w:t>
      </w:r>
      <w:r>
        <w:rPr>
          <w:i w:val="false"/>
          <w:i w:val="false"/>
          <w:iCs w:val="false"/>
          <w:rtl w:val="true"/>
        </w:rPr>
        <w:t xml:space="preserve">הטוב מסוג מסוים </w:t>
      </w:r>
      <w:r>
        <w:rPr>
          <w:rFonts w:cs="David CLM"/>
          <w:i w:val="false"/>
          <w:iCs w:val="false"/>
          <w:rtl w:val="true"/>
        </w:rPr>
        <w:t xml:space="preserve">- </w:t>
      </w:r>
      <w:r>
        <w:rPr>
          <w:i w:val="false"/>
          <w:i w:val="false"/>
          <w:iCs w:val="false"/>
          <w:rtl w:val="true"/>
        </w:rPr>
        <w:t>מצוינות</w:t>
      </w:r>
      <w:r>
        <w:rPr>
          <w:rFonts w:cs="David CLM"/>
          <w:i w:val="false"/>
          <w:iCs w:val="false"/>
          <w:rtl w:val="true"/>
        </w:rPr>
        <w:t xml:space="preserve">; </w:t>
      </w:r>
      <w:r>
        <w:rPr>
          <w:i w:val="false"/>
          <w:i w:val="false"/>
          <w:iCs w:val="false"/>
          <w:rtl w:val="true"/>
        </w:rPr>
        <w:t>הטוב ביחס מסוים – שימושי</w:t>
      </w:r>
      <w:r>
        <w:rPr>
          <w:rFonts w:cs="David CLM"/>
          <w:i w:val="false"/>
          <w:iCs w:val="false"/>
          <w:rtl w:val="true"/>
        </w:rPr>
        <w:t xml:space="preserve">; </w:t>
      </w:r>
      <w:r>
        <w:rPr>
          <w:i w:val="false"/>
          <w:i w:val="false"/>
          <w:iCs w:val="false"/>
          <w:rtl w:val="true"/>
        </w:rPr>
        <w:t>ישנם</w:t>
      </w:r>
      <w:r>
        <w:rPr>
          <w:i w:val="false"/>
          <w:i w:val="false"/>
          <w:iCs w:val="false"/>
          <w:rtl w:val="true"/>
        </w:rPr>
        <w:t xml:space="preserve"> הכמות טובה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והזמן הטוב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ורבים נוספים</w:t>
      </w:r>
      <w:r>
        <w:rPr>
          <w:rFonts w:cs="David CLM"/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כשם שיש להיות מסוג מסוים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להיות ביחס מסוים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ולהיות בכמות ובזמן מסוימים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ישנם אופנים רבים לטוב</w:t>
      </w:r>
      <w:r>
        <w:rPr>
          <w:rStyle w:val="FootnoteAnchor"/>
          <w:i w:val="false"/>
          <w:i w:val="false"/>
          <w:iCs w:val="false"/>
          <w:rtl w:val="true"/>
        </w:rPr>
        <w:footnoteReference w:id="15"/>
      </w:r>
      <w:r>
        <w:rPr>
          <w:rFonts w:cs="David CLM"/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ריבוי זה נוכח גם כשבוחנים את עיסוקיהם של בני האדם – הגנרל הטוב הוא האדם אשר פועל בזמן הטוב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המאמן הטוב הוא זה אשר פועל על פי הצבת הגבולות הנכונים </w:t>
      </w:r>
      <w:r>
        <w:rPr>
          <w:rFonts w:cs="David CLM"/>
          <w:i w:val="false"/>
          <w:iCs w:val="false"/>
          <w:rtl w:val="true"/>
        </w:rPr>
        <w:t>(</w:t>
      </w:r>
      <w:r>
        <w:rPr>
          <w:i w:val="false"/>
          <w:i w:val="false"/>
          <w:iCs w:val="false"/>
          <w:rtl w:val="true"/>
        </w:rPr>
        <w:t>הכמות הטובה</w:t>
      </w:r>
      <w:r>
        <w:rPr>
          <w:rFonts w:cs="David CLM"/>
          <w:i w:val="false"/>
          <w:iCs w:val="false"/>
          <w:rtl w:val="true"/>
        </w:rPr>
        <w:t>)</w:t>
      </w:r>
      <w:r>
        <w:rPr>
          <w:rStyle w:val="FootnoteAnchor"/>
          <w:rFonts w:cs="David CLM"/>
          <w:i w:val="false"/>
          <w:iCs w:val="false"/>
          <w:rtl w:val="true"/>
        </w:rPr>
        <w:footnoteReference w:id="16"/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ואפילו הגדרות אלו תלויות בזמן ובהקשר שהן מתרחשות</w:t>
      </w:r>
      <w:r>
        <w:rPr>
          <w:rFonts w:cs="David CLM"/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בעלי המלאכה והאמנים שאריסטו מציין לאורך כתביו מצטיירים כעת כאופנים שונים של אותו ה</w:t>
      </w:r>
      <w:r>
        <w:rPr>
          <w:rFonts w:cs="David CLM"/>
          <w:i w:val="false"/>
          <w:iCs w:val="false"/>
          <w:rtl w:val="true"/>
        </w:rPr>
        <w:t>'</w:t>
      </w:r>
      <w:r>
        <w:rPr>
          <w:i w:val="false"/>
          <w:i w:val="false"/>
          <w:iCs w:val="false"/>
          <w:rtl w:val="true"/>
        </w:rPr>
        <w:t>טוב</w:t>
      </w:r>
      <w:r>
        <w:rPr>
          <w:rFonts w:cs="David CLM"/>
          <w:i w:val="false"/>
          <w:iCs w:val="false"/>
          <w:rtl w:val="true"/>
        </w:rPr>
        <w:t xml:space="preserve">' </w:t>
      </w:r>
      <w:r>
        <w:rPr>
          <w:i w:val="false"/>
          <w:i w:val="false"/>
          <w:iCs w:val="false"/>
          <w:rtl w:val="true"/>
        </w:rPr>
        <w:t>שאנו מחפשים</w:t>
      </w:r>
      <w:r>
        <w:rPr>
          <w:rFonts w:cs="David CLM"/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לאור ריבוי זה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החתירה לקבוע את הטוב כדבר כולל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יחידני ומוחלט נדמית כעת כבלתי אפשרית</w:t>
      </w:r>
      <w:r>
        <w:rPr>
          <w:rFonts w:cs="David CLM"/>
          <w:i w:val="false"/>
          <w:iCs w:val="false"/>
          <w:rtl w:val="true"/>
        </w:rPr>
        <w:t xml:space="preserve">. </w:t>
      </w:r>
    </w:p>
    <w:p>
      <w:pPr>
        <w:pStyle w:val="Philosophy"/>
        <w:bidi w:val="1"/>
        <w:rPr/>
      </w:pPr>
      <w:r>
        <w:rPr>
          <w:rtl w:val="true"/>
        </w:rPr>
        <w:t>אריסטו אינו מתיימר לקלוע ל</w:t>
      </w:r>
      <w:r>
        <w:rPr>
          <w:rtl w:val="true"/>
        </w:rPr>
        <w:t>'</w:t>
      </w:r>
      <w:r>
        <w:rPr>
          <w:rtl w:val="true"/>
        </w:rPr>
        <w:t>טוב</w:t>
      </w:r>
      <w:r>
        <w:rPr>
          <w:rtl w:val="true"/>
        </w:rPr>
        <w:t xml:space="preserve">' </w:t>
      </w:r>
      <w:r>
        <w:rPr>
          <w:rtl w:val="true"/>
        </w:rPr>
        <w:t>מוחלט זה</w:t>
      </w:r>
      <w:r>
        <w:rPr>
          <w:rtl w:val="true"/>
        </w:rPr>
        <w:t xml:space="preserve">, </w:t>
      </w:r>
      <w:r>
        <w:rPr>
          <w:rtl w:val="true"/>
        </w:rPr>
        <w:t>אם ישנו כלל – וחוזר ואומר שבחקירה זו</w:t>
      </w:r>
      <w:r>
        <w:rPr>
          <w:rtl w:val="true"/>
        </w:rPr>
        <w:t xml:space="preserve">, </w:t>
      </w:r>
      <w:r>
        <w:rPr>
          <w:rtl w:val="true"/>
        </w:rPr>
        <w:t>די בקווים כלליים לדמותו של הטוב</w:t>
      </w:r>
      <w:r>
        <w:rPr>
          <w:rStyle w:val="FootnoteAnchor"/>
          <w:rtl w:val="true"/>
        </w:rPr>
        <w:footnoteReference w:id="17"/>
      </w:r>
      <w:r>
        <w:rPr>
          <w:rtl w:val="true"/>
        </w:rPr>
        <w:t xml:space="preserve">, </w:t>
      </w:r>
      <w:r>
        <w:rPr>
          <w:rtl w:val="true"/>
        </w:rPr>
        <w:t>כפי שאלו עולים הן מהדעה הרווחת והן מחקירתו של אריסטו</w:t>
      </w:r>
      <w:r>
        <w:rPr>
          <w:rtl w:val="true"/>
        </w:rPr>
        <w:t xml:space="preserve">: </w:t>
      </w:r>
      <w:r>
        <w:rPr>
          <w:rtl w:val="true"/>
        </w:rPr>
        <w:t>הטוב הוא המימוש המלא של התכלית</w:t>
      </w:r>
      <w:r>
        <w:rPr>
          <w:rtl w:val="true"/>
        </w:rPr>
        <w:t xml:space="preserve">, </w:t>
      </w:r>
      <w:r>
        <w:rPr>
          <w:rtl w:val="true"/>
        </w:rPr>
        <w:t>רצוי כשלעצמו</w:t>
      </w:r>
      <w:r>
        <w:rPr>
          <w:rtl w:val="true"/>
        </w:rPr>
        <w:t xml:space="preserve">, </w:t>
      </w:r>
      <w:r>
        <w:rPr>
          <w:rtl w:val="true"/>
        </w:rPr>
        <w:t>ואינו נעשה בשמו של שום דבר אחר</w:t>
      </w:r>
      <w:r>
        <w:rPr>
          <w:rStyle w:val="FootnoteAnchor"/>
          <w:rtl w:val="true"/>
        </w:rPr>
        <w:footnoteReference w:id="18"/>
      </w:r>
      <w:r>
        <w:rPr>
          <w:rtl w:val="true"/>
        </w:rPr>
        <w:t xml:space="preserve">. </w:t>
      </w:r>
      <w:r>
        <w:rPr>
          <w:rtl w:val="true"/>
        </w:rPr>
        <w:t>עיסוקה של ה</w:t>
      </w:r>
      <w:r>
        <w:rPr>
          <w:i/>
          <w:i/>
          <w:iCs/>
          <w:rtl w:val="true"/>
        </w:rPr>
        <w:t>אתיקה</w:t>
      </w:r>
      <w:r>
        <w:rPr>
          <w:i w:val="false"/>
          <w:i w:val="false"/>
          <w:iCs w:val="false"/>
          <w:rtl w:val="true"/>
        </w:rPr>
        <w:t xml:space="preserve">  אינו הגדרתו המדויקת והמוחלטת של הטוב – אלא בעבודתו של האדם בחתירתו המתמדת לאושר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הטוב האריסטותלי אינו כטוב האפלטוני</w:t>
      </w:r>
      <w:r>
        <w:rPr>
          <w:rStyle w:val="FootnoteAnchor"/>
          <w:i w:val="false"/>
          <w:i w:val="false"/>
          <w:iCs w:val="false"/>
          <w:rtl w:val="true"/>
        </w:rPr>
        <w:footnoteReference w:id="19"/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מוחלט ונשגב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אלא החתירה </w:t>
      </w:r>
      <w:r>
        <w:rPr>
          <w:i w:val="false"/>
          <w:i w:val="false"/>
          <w:iCs w:val="false"/>
          <w:rtl w:val="true"/>
        </w:rPr>
        <w:t>ה</w:t>
      </w:r>
      <w:r>
        <w:rPr>
          <w:i w:val="false"/>
          <w:i w:val="false"/>
          <w:iCs w:val="false"/>
          <w:rtl w:val="true"/>
        </w:rPr>
        <w:t>מתמדת למימוש טבע האדם במלואו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באמצעות אותם אופנים שונים של הטוב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ה</w:t>
      </w:r>
      <w:r>
        <w:rPr>
          <w:i w:val="false"/>
          <w:iCs w:val="false"/>
          <w:rtl w:val="true"/>
        </w:rPr>
        <w:t>'</w:t>
      </w:r>
      <w:r>
        <w:rPr>
          <w:i w:val="false"/>
          <w:i w:val="false"/>
          <w:iCs w:val="false"/>
          <w:rtl w:val="true"/>
        </w:rPr>
        <w:t>טוב</w:t>
      </w:r>
      <w:r>
        <w:rPr>
          <w:i w:val="false"/>
          <w:iCs w:val="false"/>
          <w:rtl w:val="true"/>
        </w:rPr>
        <w:t xml:space="preserve">' </w:t>
      </w:r>
      <w:r>
        <w:rPr>
          <w:i w:val="false"/>
          <w:i w:val="false"/>
          <w:iCs w:val="false"/>
          <w:rtl w:val="true"/>
        </w:rPr>
        <w:t>האריסטותלי הוא הקליעה לעיסוקים הנכונים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בכמות הנכונה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בזמן הנכון ובאופנים הנכונים – ובתמצית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באנרגיה הנכונה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אך עדיין נשאלת השאלה – מהי האנרגיה הנכונה</w:t>
      </w:r>
      <w:r>
        <w:rPr>
          <w:i w:val="false"/>
          <w:iCs w:val="false"/>
          <w:rtl w:val="true"/>
        </w:rPr>
        <w:t xml:space="preserve">? </w:t>
      </w:r>
      <w:r>
        <w:rPr>
          <w:i w:val="false"/>
          <w:i w:val="false"/>
          <w:iCs w:val="false"/>
          <w:rtl w:val="true"/>
        </w:rPr>
        <w:t>מהם החיים הטובים לאדם הטוב</w:t>
      </w:r>
      <w:r>
        <w:rPr>
          <w:i w:val="false"/>
          <w:iCs w:val="false"/>
          <w:rtl w:val="true"/>
        </w:rPr>
        <w:t>?</w:t>
      </w:r>
    </w:p>
    <w:p>
      <w:pPr>
        <w:pStyle w:val="Philosophy"/>
        <w:bidi w:val="1"/>
        <w:rPr/>
      </w:pPr>
      <w:r>
        <w:rPr>
          <w:i w:val="false"/>
          <w:i w:val="false"/>
          <w:iCs w:val="false"/>
          <w:rtl w:val="true"/>
        </w:rPr>
        <w:t>אריסטו קובע שאלו חיי התבונה – היכולת לחשוב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לשכנע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להשתכנע ולשכול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עבודתו של האדם באשר הוא אדם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הוא קובע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בהכרח נשענת על חלק מהותי באנושיות שלו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ולא על דבר</w:t>
      </w:r>
      <w:r>
        <w:rPr>
          <w:i w:val="false"/>
          <w:iCs w:val="false"/>
          <w:rtl w:val="true"/>
        </w:rPr>
        <w:t>-</w:t>
      </w:r>
      <w:r>
        <w:rPr>
          <w:i w:val="false"/>
          <w:i w:val="false"/>
          <w:iCs w:val="false"/>
          <w:rtl w:val="true"/>
        </w:rPr>
        <w:t>מה שהוא חולק עם שאר היישים הטבעיים</w:t>
      </w:r>
      <w:r>
        <w:rPr>
          <w:rStyle w:val="FootnoteAnchor"/>
          <w:i w:val="false"/>
          <w:i w:val="false"/>
          <w:iCs w:val="false"/>
          <w:rtl w:val="true"/>
        </w:rPr>
        <w:footnoteReference w:id="20"/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לאור זאת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הדבר היחיד שנותר אלו החיים התבוניים – החיים הפועלים על פי ההיגיון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האדם הטוב הוא זה אשר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בזכותה של התבונה המולדת לו בהיותו אדם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יודע לקלוע לאופנים הרבים של הטוב – למידה הנכונה</w:t>
      </w:r>
      <w:r>
        <w:rPr>
          <w:i w:val="false"/>
          <w:iCs w:val="false"/>
          <w:rtl w:val="true"/>
        </w:rPr>
        <w:t xml:space="preserve">; </w:t>
      </w:r>
      <w:r>
        <w:rPr>
          <w:i w:val="false"/>
          <w:i w:val="false"/>
          <w:iCs w:val="false"/>
          <w:rtl w:val="true"/>
        </w:rPr>
        <w:t>לזמן הנכון</w:t>
      </w:r>
      <w:r>
        <w:rPr>
          <w:i w:val="false"/>
          <w:iCs w:val="false"/>
          <w:rtl w:val="true"/>
        </w:rPr>
        <w:t xml:space="preserve">; </w:t>
      </w:r>
      <w:r>
        <w:rPr>
          <w:i w:val="false"/>
          <w:i w:val="false"/>
          <w:iCs w:val="false"/>
          <w:rtl w:val="true"/>
        </w:rPr>
        <w:t>לכמות הנכונה וליחס הנכון</w:t>
      </w:r>
      <w:r>
        <w:rPr>
          <w:i w:val="false"/>
          <w:iCs w:val="false"/>
          <w:rtl w:val="true"/>
        </w:rPr>
        <w:t xml:space="preserve">; </w:t>
      </w:r>
      <w:r>
        <w:rPr>
          <w:i w:val="false"/>
          <w:i w:val="false"/>
          <w:iCs w:val="false"/>
          <w:rtl w:val="true"/>
        </w:rPr>
        <w:t>וכך עם כל אופניו של הטוב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 xml:space="preserve">הטוב האנושי מצטייר כסוג של מצוינות </w:t>
      </w:r>
      <w:r>
        <w:rPr>
          <w:i w:val="false"/>
          <w:iCs w:val="false"/>
          <w:rtl w:val="true"/>
        </w:rPr>
        <w:t>(</w:t>
      </w:r>
      <w:bookmarkStart w:id="5" w:name="firstHeading1"/>
      <w:bookmarkEnd w:id="5"/>
      <w:r>
        <w:rPr/>
        <w:t>ἀρετή</w:t>
      </w:r>
      <w:r>
        <w:rPr>
          <w:i w:val="false"/>
          <w:iCs w:val="false"/>
          <w:rtl w:val="true"/>
        </w:rPr>
        <w:t xml:space="preserve">) </w:t>
      </w:r>
      <w:r>
        <w:rPr>
          <w:i w:val="false"/>
          <w:i w:val="false"/>
          <w:iCs w:val="false"/>
          <w:rtl w:val="true"/>
        </w:rPr>
        <w:t>בשיפוט התבוני באשר לאופניו השונים של הטוב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אשר נבנה בעבודה מתמדת ומתמשכת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באשר לאדם אשר חי חיים שכאלו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קובע אריסטו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כולם יסכימו שהוא מאושר</w:t>
      </w:r>
      <w:r>
        <w:rPr>
          <w:rStyle w:val="FootnoteAnchor"/>
          <w:i w:val="false"/>
          <w:i w:val="false"/>
          <w:iCs w:val="false"/>
          <w:rtl w:val="true"/>
        </w:rPr>
        <w:footnoteReference w:id="21"/>
      </w:r>
      <w:r>
        <w:rPr>
          <w:i w:val="false"/>
          <w:iCs w:val="false"/>
          <w:rtl w:val="true"/>
        </w:rPr>
        <w:t xml:space="preserve">. </w:t>
      </w:r>
    </w:p>
    <w:p>
      <w:pPr>
        <w:pStyle w:val="Philosophy"/>
        <w:bidi w:val="1"/>
        <w:rPr/>
      </w:pPr>
      <w:r>
        <w:rPr>
          <w:i w:val="false"/>
          <w:i w:val="false"/>
          <w:iCs w:val="false"/>
          <w:rtl w:val="true"/>
        </w:rPr>
        <w:t>האושר האריסטותלי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איפוא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אינו מצב סופי ומוחלט שיש לשמר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אלא החיים החולקים כבוד למה שהופך את האדם לאדם – החיים הפועלים על פי התבונה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בין שבטיפוח אופי טוב ובין שבמצוינות מחשבתית</w:t>
      </w:r>
      <w:r>
        <w:rPr>
          <w:rStyle w:val="FootnoteAnchor"/>
          <w:i w:val="false"/>
          <w:i w:val="false"/>
          <w:iCs w:val="false"/>
          <w:rtl w:val="true"/>
        </w:rPr>
        <w:footnoteReference w:id="22"/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בעוד שהאושר הוא התכלית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הוא אינו עיקרה של החקירה האריסטותלית – אלא תוצר מובן מאליו של החיים על פי הטבע האנושי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מכאן והלאה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בהמשך ה</w:t>
      </w:r>
      <w:r>
        <w:rPr>
          <w:i/>
          <w:i/>
          <w:iCs/>
          <w:rtl w:val="true"/>
        </w:rPr>
        <w:t>אתיקה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צולל אריסטו לאופן שבו על אדם לחיות חיים אלה – האנרגיה – ובאמצעותה לממש את את צורתו – החיים התבוניים – ולהגיע ל</w:t>
      </w:r>
      <w:r>
        <w:rPr>
          <w:i w:val="false"/>
          <w:iCs w:val="false"/>
          <w:rtl w:val="true"/>
        </w:rPr>
        <w:t>'</w:t>
      </w:r>
      <w:r>
        <w:rPr>
          <w:i w:val="false"/>
          <w:i w:val="false"/>
          <w:iCs w:val="false"/>
          <w:rtl w:val="true"/>
        </w:rPr>
        <w:t>לשם מה</w:t>
      </w:r>
      <w:r>
        <w:rPr>
          <w:i w:val="false"/>
          <w:iCs w:val="false"/>
          <w:rtl w:val="true"/>
        </w:rPr>
        <w:t xml:space="preserve">' </w:t>
      </w:r>
      <w:r>
        <w:rPr>
          <w:i w:val="false"/>
          <w:i w:val="false"/>
          <w:iCs w:val="false"/>
          <w:rtl w:val="true"/>
        </w:rPr>
        <w:t>הייחודי לאדם באשר הוא אדם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בעוד שעל טיבו של אושר זה ועל זהותו של ה</w:t>
      </w:r>
      <w:r>
        <w:rPr>
          <w:i w:val="false"/>
          <w:iCs w:val="false"/>
          <w:rtl w:val="true"/>
        </w:rPr>
        <w:t>'</w:t>
      </w:r>
      <w:r>
        <w:rPr>
          <w:i w:val="false"/>
          <w:i w:val="false"/>
          <w:iCs w:val="false"/>
          <w:rtl w:val="true"/>
        </w:rPr>
        <w:t>טוב</w:t>
      </w:r>
      <w:r>
        <w:rPr>
          <w:i w:val="false"/>
          <w:iCs w:val="false"/>
          <w:rtl w:val="true"/>
        </w:rPr>
        <w:t xml:space="preserve">' </w:t>
      </w:r>
      <w:r>
        <w:rPr>
          <w:i w:val="false"/>
          <w:i w:val="false"/>
          <w:iCs w:val="false"/>
          <w:rtl w:val="true"/>
        </w:rPr>
        <w:t>המוחלט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אם ישנו כלל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סביר שלעולם לא נמצא תשובה מספקת ומוסכמת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אריסטו מצליח בחקירתו לעמוד בקווים כלליים על טיבם של שני אלו – בדמותם של העיסוקים הנכונים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הקולעים במידה הנכונה לכל מושאיהם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המצוינות בשיפוט זהותם של אלו היא התבונה האנושית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והאדם שיצליח לפעול על פיה הוא האדם הטוב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המאושר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המגשים את טבעו האנושי במלוא המובן</w:t>
      </w:r>
      <w:r>
        <w:rPr>
          <w:i w:val="false"/>
          <w:iCs w:val="false"/>
          <w:rtl w:val="true"/>
        </w:rPr>
        <w:t>.</w:t>
      </w:r>
      <w:r>
        <w:br w:type="page"/>
      </w:r>
    </w:p>
    <w:p>
      <w:pPr>
        <w:pStyle w:val="Philosophy"/>
        <w:jc w:val="center"/>
        <w:rPr>
          <w:b/>
          <w:b/>
          <w:bCs/>
          <w:u w:val="single"/>
        </w:rPr>
      </w:pPr>
      <w:r>
        <w:rPr>
          <w:b/>
          <w:b/>
          <w:bCs/>
          <w:u w:val="single"/>
          <w:rtl w:val="true"/>
        </w:rPr>
        <w:t>ביבליוגרפיה</w:t>
      </w:r>
    </w:p>
    <w:p>
      <w:pPr>
        <w:pStyle w:val="Style14"/>
        <w:bidi w:val="0"/>
        <w:spacing w:lineRule="auto" w:line="360"/>
        <w:jc w:val="center"/>
        <w:rPr>
          <w:rFonts w:ascii="Times New Roman" w:hAnsi="Times New Roman"/>
        </w:rPr>
      </w:pPr>
      <w:r>
        <w:rPr/>
        <w:t>Sachs, Joe.</w:t>
      </w:r>
      <w:r>
        <w:rPr>
          <w:i/>
          <w:iCs/>
        </w:rPr>
        <w:t xml:space="preserve"> Aristotle’s Metaphysics – second edition</w:t>
      </w:r>
      <w:r>
        <w:rPr/>
        <w:t>. Santa Fe</w:t>
      </w:r>
      <w:r>
        <w:rPr>
          <w:i/>
          <w:iCs/>
        </w:rPr>
        <w:t xml:space="preserve">: </w:t>
      </w:r>
      <w:r>
        <w:rPr/>
        <w:t>Green Lion Press, 1999</w:t>
      </w:r>
    </w:p>
    <w:p>
      <w:pPr>
        <w:pStyle w:val="Normal"/>
        <w:bidi w:val="0"/>
        <w:spacing w:lineRule="auto" w:line="36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Sachs, Joe. Aristotle's Nicomachean Ethics. Translated by Joe Sachs. Newberryport: Focus Publishing, 2002</w:t>
      </w:r>
    </w:p>
    <w:p>
      <w:pPr>
        <w:pStyle w:val="Normal"/>
        <w:bidi w:val="0"/>
        <w:spacing w:lineRule="auto" w:line="360"/>
        <w:jc w:val="center"/>
        <w:rPr>
          <w:rFonts w:ascii="Times New Roman" w:hAnsi="Times New Roman"/>
        </w:rPr>
      </w:pPr>
      <w:r>
        <w:rPr>
          <w:rFonts w:ascii="Times New Roman" w:hAnsi="Times New Roman"/>
          <w:i w:val="false"/>
          <w:iCs w:val="false"/>
        </w:rPr>
        <w:t xml:space="preserve">Sachs, Joe. Aristotle's Physics: A Guided Study. Translated by Joe Sachs . New Brunswick: ‎ Rutgers </w:t>
      </w:r>
      <w:r>
        <w:rPr>
          <w:rFonts w:ascii="Times New Roman" w:hAnsi="Times New Roman"/>
          <w:i w:val="false"/>
          <w:iCs w:val="false"/>
          <w:sz w:val="24"/>
          <w:szCs w:val="24"/>
        </w:rPr>
        <w:t>University Press,  1995</w:t>
      </w:r>
    </w:p>
    <w:p>
      <w:pPr>
        <w:pStyle w:val="Philosophy"/>
        <w:jc w:val="center"/>
        <w:rPr>
          <w:rFonts w:ascii="Times New Roman" w:hAnsi="Times New Roman"/>
        </w:rPr>
      </w:pPr>
      <w:r>
        <w:rPr>
          <w:rFonts w:eastAsia="Nimbus Sans" w:cs="David"/>
          <w:b w:val="false"/>
          <w:bCs w:val="false"/>
          <w:i w:val="false"/>
          <w:iCs w:val="false"/>
          <w:color w:val="auto"/>
          <w:kern w:val="2"/>
          <w:sz w:val="24"/>
          <w:szCs w:val="24"/>
          <w:lang w:val="en-US" w:eastAsia="zh-CN" w:bidi="hi-IN"/>
        </w:rPr>
        <w:t>Plato. “Phaedo”.</w:t>
      </w:r>
      <w:r>
        <w:rPr>
          <w:rFonts w:eastAsia="Nimbus Sans" w:cs="David"/>
          <w:b w:val="false"/>
          <w:bCs w:val="false"/>
          <w:i/>
          <w:iCs/>
          <w:color w:val="auto"/>
          <w:kern w:val="2"/>
          <w:sz w:val="24"/>
          <w:szCs w:val="24"/>
          <w:lang w:val="en-US" w:eastAsia="zh-CN" w:bidi="hi-IN"/>
        </w:rPr>
        <w:t xml:space="preserve"> Plato: Phaedo </w:t>
      </w:r>
      <w:r>
        <w:rPr>
          <w:rFonts w:eastAsia="Nimbus Sans" w:cs="David"/>
          <w:b w:val="false"/>
          <w:bCs w:val="false"/>
          <w:i w:val="false"/>
          <w:iCs w:val="false"/>
          <w:color w:val="auto"/>
          <w:kern w:val="2"/>
          <w:sz w:val="24"/>
          <w:szCs w:val="24"/>
          <w:lang w:val="en-US" w:eastAsia="zh-CN" w:bidi="hi-IN"/>
        </w:rPr>
        <w:t>Tr. Eva Brann,  Peter Kalkavage, and Eric Salem.</w:t>
      </w:r>
    </w:p>
    <w:p>
      <w:pPr>
        <w:pStyle w:val="Philosophy"/>
        <w:jc w:val="center"/>
        <w:rPr>
          <w:rFonts w:ascii="Times New Roman" w:hAnsi="Times New Roman"/>
        </w:rPr>
      </w:pPr>
      <w:r>
        <w:rPr/>
        <w:t>Newburyport: Focus Pub./R.Pulling Co., 1998</w:t>
      </w:r>
    </w:p>
    <w:sectPr>
      <w:headerReference w:type="default" r:id="rId2"/>
      <w:footnotePr>
        <w:numFmt w:val="decimal"/>
      </w:footnotePr>
      <w:type w:val="nextPage"/>
      <w:pgSz w:w="11906" w:h="16838"/>
      <w:pgMar w:left="1134" w:right="1134" w:gutter="0" w:header="1134" w:top="1693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David CLM">
    <w:charset w:val="0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 xml:space="preserve">Aristotle, “Metaphysics Gamma”. in </w:t>
      </w:r>
      <w:r>
        <w:rPr>
          <w:i/>
          <w:iCs/>
        </w:rPr>
        <w:t xml:space="preserve"> “Aristotle’s Metaphysics” – </w:t>
      </w:r>
      <w:r>
        <w:rPr/>
        <w:t>second edition. Tr Joe Sachs (Santa Fe: Green Lion Press, 1999). p.61, para. 1006b20-30</w:t>
      </w:r>
    </w:p>
  </w:footnote>
  <w:footnote w:id="3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 xml:space="preserve">Aristotle, “Metaphysics Zeta”. in </w:t>
      </w:r>
      <w:r>
        <w:rPr>
          <w:i/>
          <w:iCs/>
        </w:rPr>
        <w:t xml:space="preserve"> “Aristotle’s Metaphysics” – </w:t>
      </w:r>
      <w:r>
        <w:rPr/>
        <w:t>second edition. Tr Joe Sachs (Santa Fe: Green Lion Press, 1999). p.119, para 1029a</w:t>
      </w:r>
    </w:p>
  </w:footnote>
  <w:footnote w:id="4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 xml:space="preserve">Aristotle, “Metaphysics Gamma”. in </w:t>
      </w:r>
      <w:r>
        <w:rPr>
          <w:i/>
          <w:iCs/>
        </w:rPr>
        <w:t xml:space="preserve"> “Aristotle’s Metaphysics” – </w:t>
      </w:r>
      <w:r>
        <w:rPr/>
        <w:t>second edition. Tr Joe Sachs (Santa Fe: Green Lion Press, 1999). pp. 62-3, para. 1007a30</w:t>
      </w:r>
    </w:p>
  </w:footnote>
  <w:footnote w:id="5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>Plato, “Phaedo”. in</w:t>
      </w:r>
      <w:r>
        <w:rPr>
          <w:i w:val="false"/>
          <w:iCs w:val="false"/>
        </w:rPr>
        <w:t xml:space="preserve"> </w:t>
      </w:r>
      <w:r>
        <w:rPr>
          <w:i/>
          <w:iCs/>
        </w:rPr>
        <w:t xml:space="preserve">Plato: Phaedo.  </w:t>
      </w:r>
      <w:r>
        <w:rPr>
          <w:i w:val="false"/>
          <w:iCs w:val="false"/>
        </w:rPr>
        <w:t>Tr.</w:t>
      </w:r>
      <w:r>
        <w:rPr>
          <w:i/>
          <w:iCs/>
        </w:rPr>
        <w:t xml:space="preserve"> </w:t>
      </w:r>
      <w:r>
        <w:rPr>
          <w:i w:val="false"/>
          <w:iCs w:val="false"/>
        </w:rPr>
        <w:t xml:space="preserve">Brann, Eva, Peter Kalkavage, and Eric Salem.  </w:t>
      </w:r>
      <w:r>
        <w:rPr/>
        <w:t>p.76, para. 97A-B</w:t>
      </w:r>
    </w:p>
    <w:p>
      <w:pPr>
        <w:pStyle w:val="Footnote"/>
        <w:rPr/>
      </w:pPr>
      <w:r>
        <w:rPr/>
        <w:t>Ibid. pp.77-8, para. 98A-E</w:t>
      </w:r>
    </w:p>
  </w:footnote>
  <w:footnote w:id="6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 xml:space="preserve">Aristotle, “Metaphysics Zeta”. in </w:t>
      </w:r>
      <w:r>
        <w:rPr>
          <w:i/>
          <w:iCs/>
        </w:rPr>
        <w:t xml:space="preserve"> “Aristotle’s Metaphysics” – </w:t>
      </w:r>
      <w:r>
        <w:rPr/>
        <w:t>second edition. Tr Joe Sachs (Santa Fe: Green Lion Press, 1999), p.119, para 1029a10-20</w:t>
      </w:r>
    </w:p>
  </w:footnote>
  <w:footnote w:id="7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>Aristotle, “Physics”, Book I. In</w:t>
      </w:r>
      <w:r>
        <w:rPr>
          <w:i/>
          <w:iCs/>
        </w:rPr>
        <w:t xml:space="preserve"> </w:t>
      </w:r>
      <w:bookmarkStart w:id="6" w:name="title1111111"/>
      <w:bookmarkStart w:id="7" w:name="productTitle1111111"/>
      <w:bookmarkEnd w:id="6"/>
      <w:bookmarkEnd w:id="7"/>
      <w:r>
        <w:rPr>
          <w:i/>
          <w:iCs/>
        </w:rPr>
        <w:t>Aristotle's Physics: A Guided Study</w:t>
      </w:r>
      <w:r>
        <w:rPr>
          <w:i w:val="false"/>
          <w:iCs w:val="false"/>
        </w:rPr>
        <w:t xml:space="preserve">. Tr. Joe Sachs (New Brunswick: ‎ Rutgers University Press,  1995). </w:t>
      </w:r>
      <w:r>
        <w:rPr/>
        <w:t>p.40-41, para. 189b30-190a10</w:t>
      </w:r>
    </w:p>
  </w:footnote>
  <w:footnote w:id="8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>Aristotle, “Physics”, Book II. In</w:t>
      </w:r>
      <w:r>
        <w:rPr>
          <w:i/>
          <w:iCs/>
        </w:rPr>
        <w:t xml:space="preserve"> </w:t>
      </w:r>
      <w:bookmarkStart w:id="8" w:name="title11112"/>
      <w:bookmarkStart w:id="9" w:name="productTitle11112"/>
      <w:bookmarkEnd w:id="8"/>
      <w:bookmarkEnd w:id="9"/>
      <w:r>
        <w:rPr>
          <w:i/>
          <w:iCs/>
        </w:rPr>
        <w:t>Aristotle's Physics: A Guided Study</w:t>
      </w:r>
      <w:r>
        <w:rPr>
          <w:i w:val="false"/>
          <w:iCs w:val="false"/>
        </w:rPr>
        <w:t xml:space="preserve">. Tr. Joe Sachs (New Brunswick: ‎ Rutgers University Press,  1995). </w:t>
      </w:r>
      <w:r>
        <w:rPr/>
        <w:t>p.50, para. 193a30</w:t>
      </w:r>
    </w:p>
  </w:footnote>
  <w:footnote w:id="9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>Ibid. p.51, para. 193b-193b10</w:t>
      </w:r>
    </w:p>
  </w:footnote>
  <w:footnote w:id="10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>Aristotle, “Physics”, Book I. In</w:t>
      </w:r>
      <w:r>
        <w:rPr>
          <w:i/>
          <w:iCs/>
        </w:rPr>
        <w:t xml:space="preserve"> </w:t>
      </w:r>
      <w:bookmarkStart w:id="10" w:name="title111111"/>
      <w:bookmarkStart w:id="11" w:name="productTitle111111"/>
      <w:bookmarkEnd w:id="10"/>
      <w:bookmarkEnd w:id="11"/>
      <w:r>
        <w:rPr>
          <w:i/>
          <w:iCs/>
        </w:rPr>
        <w:t>Aristotle's Physics: A Guided Study</w:t>
      </w:r>
      <w:r>
        <w:rPr>
          <w:i w:val="false"/>
          <w:iCs w:val="false"/>
        </w:rPr>
        <w:t xml:space="preserve">. Tr. Joe Sachs (New Brunswick: ‎ Rutgers University Press,  1995). </w:t>
      </w:r>
      <w:r>
        <w:rPr/>
        <w:t>p.41-42, para. 190b20</w:t>
      </w:r>
    </w:p>
  </w:footnote>
  <w:footnote w:id="11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>Aristotle, “Nicomachean Ethics”, Book I. In</w:t>
      </w:r>
      <w:r>
        <w:rPr>
          <w:i/>
          <w:iCs/>
        </w:rPr>
        <w:t xml:space="preserve"> </w:t>
      </w:r>
      <w:bookmarkStart w:id="12" w:name="title3111"/>
      <w:bookmarkStart w:id="13" w:name="productTitle3111"/>
      <w:bookmarkEnd w:id="12"/>
      <w:bookmarkEnd w:id="13"/>
      <w:r>
        <w:rPr>
          <w:i/>
          <w:iCs/>
        </w:rPr>
        <w:t>Aristotle's Nicomachean Ethics</w:t>
      </w:r>
      <w:r>
        <w:rPr>
          <w:i w:val="false"/>
          <w:iCs w:val="false"/>
        </w:rPr>
        <w:t>. Tr. Joe Sachs (Newberryport: Focus Publishing, 2002).</w:t>
      </w:r>
      <w:r>
        <w:rPr/>
        <w:t xml:space="preserve"> p.1, para. 1094a-10</w:t>
      </w:r>
    </w:p>
  </w:footnote>
  <w:footnote w:id="12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>Ibid. p.10, para. 1097b20</w:t>
      </w:r>
    </w:p>
  </w:footnote>
  <w:footnote w:id="13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>Ibid. p. 4, para. 1095b20</w:t>
      </w:r>
    </w:p>
  </w:footnote>
  <w:footnote w:id="14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>Ibid. p.4, para. 1095b30</w:t>
      </w:r>
    </w:p>
  </w:footnote>
  <w:footnote w:id="15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>Ibid. p.8, para. 1096b20</w:t>
      </w:r>
    </w:p>
  </w:footnote>
  <w:footnote w:id="16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>Ibid. p.7, para. 1096b</w:t>
      </w:r>
    </w:p>
  </w:footnote>
  <w:footnote w:id="17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>Ibid, p.2, para. 1094B20, p.13, para. 1098a30</w:t>
      </w:r>
    </w:p>
  </w:footnote>
  <w:footnote w:id="18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>Ibid. p.1, para. 1094a20</w:t>
      </w:r>
    </w:p>
  </w:footnote>
  <w:footnote w:id="19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>Ibid. pp.5-6, para. 1096a10-20</w:t>
      </w:r>
    </w:p>
  </w:footnote>
  <w:footnote w:id="20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>Ibid. p.11, para.1098a</w:t>
      </w:r>
    </w:p>
  </w:footnote>
  <w:footnote w:id="21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>Ibid. p.13, para 1098b20-30</w:t>
      </w:r>
    </w:p>
  </w:footnote>
  <w:footnote w:id="22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>Ibid. p.21, para. 1103a-10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rFonts w:ascii="Times New Roman" w:hAnsi="Times New Roman"/>
        <w:b/>
        <w:b/>
        <w:bCs/>
      </w:rPr>
    </w:pPr>
    <w:r>
      <w:rPr>
        <w:rFonts w:ascii="Times New Roman" w:hAnsi="Times New Roman"/>
        <w:b/>
        <w:bCs/>
      </w:rPr>
      <w:t>207130253</w:t>
    </w:r>
  </w:p>
</w:hdr>
</file>

<file path=word/settings.xml><?xml version="1.0" encoding="utf-8"?>
<w:settings xmlns:w="http://schemas.openxmlformats.org/wordprocessingml/2006/main">
  <w:zoom w:percent="110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FreeSan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oto Serif CJK SC" w:cs="FreeSans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TextBody"/>
    <w:qFormat/>
    <w:pPr>
      <w:spacing w:before="240" w:after="120"/>
      <w:outlineLvl w:val="0"/>
    </w:pPr>
    <w:rPr>
      <w:rFonts w:ascii="Liberation Serif" w:hAnsi="Liberation Serif" w:eastAsia="Noto Serif CJK SC" w:cs="FreeSans"/>
      <w:b/>
      <w:bCs/>
      <w:sz w:val="48"/>
      <w:szCs w:val="48"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FootnoteCharacters">
    <w:name w:val="Footnote Characters"/>
    <w:basedOn w:val="DefaultParagraphFont"/>
    <w:qFormat/>
    <w:rPr>
      <w:vertAlign w:val="superscript"/>
    </w:rPr>
  </w:style>
  <w:style w:type="character" w:styleId="FootnoteAnchor">
    <w:name w:val="Footnote Anchor"/>
    <w:rPr>
      <w:vertAlign w:val="superscript"/>
    </w:rPr>
  </w:style>
  <w:style w:type="character" w:styleId="EndnoteAnchor">
    <w:name w:val="Endnote Anchor"/>
    <w:rPr>
      <w:vertAlign w:val="superscript"/>
    </w:rPr>
  </w:style>
  <w:style w:type="character" w:styleId="EndnoteCharacters">
    <w:name w:val="Endnote Characters"/>
    <w:qFormat/>
    <w:rPr/>
  </w:style>
  <w:style w:type="character" w:styleId="Style13">
    <w:name w:val="טקסט הערת שוליים תו"/>
    <w:basedOn w:val="DefaultParagraphFont"/>
    <w:link w:val="Footnote"/>
    <w:qFormat/>
    <w:rPr>
      <w:sz w:val="20"/>
      <w:szCs w:val="20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Caption1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Style14">
    <w:name w:val="אקדמי"/>
    <w:basedOn w:val="Normal"/>
    <w:qFormat/>
    <w:pPr>
      <w:bidi w:val="1"/>
      <w:spacing w:lineRule="auto" w:line="480" w:before="0" w:after="0"/>
      <w:ind w:left="0" w:right="0" w:firstLine="288"/>
      <w:contextualSpacing/>
      <w:jc w:val="left"/>
    </w:pPr>
    <w:rPr>
      <w:rFonts w:ascii="Times New Roman" w:hAnsi="Times New Roman" w:cs="David Libre"/>
    </w:rPr>
  </w:style>
  <w:style w:type="paragraph" w:styleId="Philosophy">
    <w:name w:val="Philosophy"/>
    <w:basedOn w:val="Style14"/>
    <w:qFormat/>
    <w:pPr>
      <w:bidi w:val="0"/>
      <w:spacing w:lineRule="auto" w:line="360"/>
      <w:jc w:val="both"/>
    </w:pPr>
    <w:rPr>
      <w:rFonts w:cs="David CLM"/>
    </w:rPr>
  </w:style>
  <w:style w:type="paragraph" w:styleId="Footnote">
    <w:name w:val="Footnote Text"/>
    <w:basedOn w:val="Normal"/>
    <w:link w:val="Style13"/>
    <w:pPr>
      <w:suppressLineNumbers/>
      <w:ind w:left="340" w:right="0" w:hanging="340"/>
    </w:pPr>
    <w:rPr>
      <w:sz w:val="20"/>
      <w:szCs w:val="20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958</TotalTime>
  <Application>LibreOffice/7.3.7.2$Linux_X86_64 LibreOffice_project/30$Build-2</Application>
  <AppVersion>15.0000</AppVersion>
  <Pages>6</Pages>
  <Words>2039</Words>
  <Characters>9890</Characters>
  <CharactersWithSpaces>11979</CharactersWithSpaces>
  <Paragraphs>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2023-07-28T09:49:00Z</dcterms:created>
  <dc:creator/>
  <dc:description/>
  <dc:language>en-US</dc:language>
  <cp:lastModifiedBy/>
  <dcterms:modified xsi:type="dcterms:W3CDTF">2023-08-13T19:04:16Z</dcterms:modified>
  <cp:revision>218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