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t>“</w:t>
      </w:r>
      <w:r>
        <w:rPr>
          <w:rFonts w:cs="David Libre"/>
          <w:b w:val="false"/>
          <w:bCs w:val="false"/>
          <w:i w:val="false"/>
          <w:iCs w:val="false"/>
          <w:position w:val="0"/>
          <w:sz w:val="24"/>
          <w:sz w:val="24"/>
          <w:szCs w:val="24"/>
          <w:u w:val="none"/>
          <w:vertAlign w:val="baseline"/>
        </w:rPr>
        <w:t>Every art and every inquiry, and likewise every action and choice, seems to aim at some good, and hence it has been beautifully said that the good is that at which all things aim”</w:t>
      </w:r>
      <w:r>
        <w:rPr>
          <w:rStyle w:val="FootnoteAnchor"/>
          <w:rFonts w:cs="David CLM"/>
          <w:b w:val="false"/>
          <w:bCs w:val="false"/>
          <w:i w:val="false"/>
          <w:iCs w:val="false"/>
          <w:position w:val="0"/>
          <w:sz w:val="24"/>
          <w:sz w:val="24"/>
          <w:szCs w:val="24"/>
          <w:u w:val="none"/>
          <w:vertAlign w:val="baseline"/>
        </w:rPr>
        <w:footnoteReference w:id="2"/>
      </w:r>
      <w:r>
        <w:rPr>
          <w:rFonts w:cs="David Libre"/>
          <w:b w:val="false"/>
          <w:bCs w:val="false"/>
          <w:i w:val="false"/>
          <w:iCs w:val="false"/>
          <w:position w:val="0"/>
          <w:sz w:val="24"/>
          <w:sz w:val="24"/>
          <w:szCs w:val="24"/>
          <w:u w:val="none"/>
          <w:vertAlign w:val="baseline"/>
        </w:rPr>
        <w:t xml:space="preserve">, </w:t>
      </w:r>
      <w:r>
        <w:rPr>
          <w:rFonts w:cs="David Libre"/>
          <w:b w:val="false"/>
          <w:bCs w:val="false"/>
          <w:i w:val="false"/>
          <w:iCs w:val="false"/>
          <w:position w:val="0"/>
          <w:sz w:val="24"/>
          <w:sz w:val="24"/>
          <w:szCs w:val="24"/>
          <w:u w:val="none"/>
          <w:vertAlign w:val="baseline"/>
        </w:rPr>
        <w:t>states Aristotle in his Nicomachean Ethics. How must a person live and act according to that good? Who is the good person at all? This is the object of the Aristotelian science of character, as Aristotle declares explicitly</w:t>
      </w:r>
      <w:r>
        <w:rPr>
          <w:rStyle w:val="FootnoteAnchor"/>
          <w:rFonts w:cs="David Libre"/>
          <w:b w:val="false"/>
          <w:bCs w:val="false"/>
          <w:i w:val="false"/>
          <w:iCs w:val="false"/>
          <w:position w:val="0"/>
          <w:sz w:val="24"/>
          <w:sz w:val="24"/>
          <w:szCs w:val="24"/>
          <w:u w:val="none"/>
          <w:vertAlign w:val="baseline"/>
        </w:rPr>
        <w:footnoteReference w:id="3"/>
      </w:r>
      <w:r>
        <w:rPr>
          <w:rFonts w:cs="David Libre"/>
          <w:b w:val="false"/>
          <w:bCs w:val="false"/>
          <w:i w:val="false"/>
          <w:iCs w:val="false"/>
          <w:position w:val="0"/>
          <w:sz w:val="24"/>
          <w:sz w:val="24"/>
          <w:szCs w:val="24"/>
          <w:u w:val="none"/>
          <w:vertAlign w:val="baseline"/>
        </w:rPr>
        <w:t>. To answer, I will examine all the aspects of this question by the Aristotelian method: first, I shall present man as a ‘natural being’, powered of itself towards his best fulfillment; then, I shall outline the nature of happiness as the purpose of man’s ambition, and examine  virtue – required for the fulfillment of the happy life; and finally, I will demonstrate the human excellence bound in such a life using the virtue of courage.</w:t>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tab/>
      </w:r>
      <w:r>
        <w:rPr>
          <w:rFonts w:cs="David Libre"/>
          <w:b w:val="false"/>
          <w:bCs w:val="false"/>
          <w:i w:val="false"/>
          <w:iCs w:val="false"/>
          <w:position w:val="0"/>
          <w:sz w:val="24"/>
          <w:sz w:val="24"/>
          <w:szCs w:val="24"/>
          <w:u w:val="none"/>
          <w:vertAlign w:val="baseline"/>
        </w:rPr>
        <w:t xml:space="preserve">In the beginning of his </w:t>
      </w:r>
      <w:r>
        <w:rPr>
          <w:rFonts w:cs="David Libre"/>
          <w:b w:val="false"/>
          <w:bCs w:val="false"/>
          <w:i/>
          <w:iCs/>
          <w:position w:val="0"/>
          <w:sz w:val="24"/>
          <w:sz w:val="24"/>
          <w:szCs w:val="24"/>
          <w:u w:val="none"/>
          <w:vertAlign w:val="baseline"/>
        </w:rPr>
        <w:t xml:space="preserve">Physics, </w:t>
      </w:r>
      <w:r>
        <w:rPr>
          <w:rFonts w:cs="David Libre"/>
          <w:b w:val="false"/>
          <w:bCs w:val="false"/>
          <w:i w:val="false"/>
          <w:iCs w:val="false"/>
          <w:position w:val="0"/>
          <w:sz w:val="24"/>
          <w:sz w:val="24"/>
          <w:szCs w:val="24"/>
          <w:u w:val="none"/>
          <w:vertAlign w:val="baseline"/>
        </w:rPr>
        <w:t>Aristotle defines the natural being – the things which are propelled of themselves by an inner motion, such as animals and plants</w:t>
      </w:r>
      <w:r>
        <w:rPr>
          <w:rStyle w:val="FootnoteAnchor"/>
          <w:rFonts w:cs="David Libre"/>
          <w:b w:val="false"/>
          <w:bCs w:val="false"/>
          <w:i w:val="false"/>
          <w:iCs w:val="false"/>
          <w:position w:val="0"/>
          <w:sz w:val="24"/>
          <w:sz w:val="24"/>
          <w:szCs w:val="24"/>
          <w:u w:val="none"/>
          <w:vertAlign w:val="baseline"/>
        </w:rPr>
        <w:footnoteReference w:id="4"/>
      </w:r>
      <w:r>
        <w:rPr>
          <w:rFonts w:cs="David Libre"/>
          <w:b w:val="false"/>
          <w:bCs w:val="false"/>
          <w:i w:val="false"/>
          <w:iCs w:val="false"/>
          <w:position w:val="0"/>
          <w:sz w:val="24"/>
          <w:sz w:val="24"/>
          <w:szCs w:val="24"/>
          <w:u w:val="none"/>
          <w:vertAlign w:val="baseline"/>
        </w:rPr>
        <w:t>. Aristotle defines this motion as being-at-work (Energia) – the fulfillment of that thing’s form (the for of the eye, for example, is to see; the seeing eye, at any time it sees, fulfills its form)</w:t>
      </w:r>
      <w:r>
        <w:rPr>
          <w:rStyle w:val="FootnoteAnchor"/>
          <w:rFonts w:cs="David Libre"/>
          <w:b w:val="false"/>
          <w:bCs w:val="false"/>
          <w:i w:val="false"/>
          <w:iCs w:val="false"/>
          <w:position w:val="0"/>
          <w:sz w:val="24"/>
          <w:sz w:val="24"/>
          <w:szCs w:val="24"/>
          <w:u w:val="none"/>
          <w:vertAlign w:val="baseline"/>
        </w:rPr>
        <w:footnoteReference w:id="5"/>
      </w:r>
      <w:r>
        <w:rPr>
          <w:rFonts w:cs="David Libre"/>
          <w:b w:val="false"/>
          <w:bCs w:val="false"/>
          <w:i w:val="false"/>
          <w:iCs w:val="false"/>
          <w:position w:val="0"/>
          <w:sz w:val="24"/>
          <w:sz w:val="24"/>
          <w:szCs w:val="24"/>
          <w:u w:val="none"/>
          <w:vertAlign w:val="baseline"/>
        </w:rPr>
        <w:t>. Fulfilling the form in a perfect manner is the purpose (Telos) of the natural beings, and their motion seeks to fulfill that form</w:t>
      </w:r>
      <w:r>
        <w:rPr>
          <w:rStyle w:val="FootnoteAnchor"/>
          <w:rFonts w:cs="David Libre"/>
          <w:b w:val="false"/>
          <w:bCs w:val="false"/>
          <w:i w:val="false"/>
          <w:iCs w:val="false"/>
          <w:position w:val="0"/>
          <w:sz w:val="24"/>
          <w:sz w:val="24"/>
          <w:szCs w:val="24"/>
          <w:u w:val="none"/>
          <w:vertAlign w:val="baseline"/>
        </w:rPr>
        <w:footnoteReference w:id="6"/>
      </w:r>
      <w:r>
        <w:rPr>
          <w:rFonts w:cs="David Libre"/>
          <w:b w:val="false"/>
          <w:bCs w:val="false"/>
          <w:i w:val="false"/>
          <w:iCs w:val="false"/>
          <w:position w:val="0"/>
          <w:sz w:val="24"/>
          <w:sz w:val="24"/>
          <w:szCs w:val="24"/>
          <w:u w:val="none"/>
          <w:vertAlign w:val="baseline"/>
        </w:rPr>
        <w:t>. Answering to that definition, man is also driven by an inner motion towards fulfilling some purpose – and the form of man, in virtue of his being a man, is defined by his work towards fulfilling that purpose: the good man is the one who shall do so perfectly.  Thus, to outline the good man, we must first examine that purpose, and the manner in which that man could fulfill it</w:t>
      </w:r>
      <w:r>
        <w:rPr>
          <w:rStyle w:val="FootnoteAnchor"/>
          <w:rFonts w:cs="David Libre"/>
          <w:b w:val="false"/>
          <w:bCs w:val="false"/>
          <w:i w:val="false"/>
          <w:iCs w:val="false"/>
          <w:position w:val="0"/>
          <w:sz w:val="24"/>
          <w:sz w:val="24"/>
          <w:szCs w:val="24"/>
          <w:u w:val="none"/>
          <w:vertAlign w:val="baseline"/>
        </w:rPr>
        <w:footnoteReference w:id="7"/>
      </w:r>
      <w:r>
        <w:rPr>
          <w:rFonts w:cs="David Libre"/>
          <w:b w:val="false"/>
          <w:bCs w:val="false"/>
          <w:i w:val="false"/>
          <w:iCs w:val="false"/>
          <w:position w:val="0"/>
          <w:sz w:val="24"/>
          <w:sz w:val="24"/>
          <w:szCs w:val="24"/>
          <w:u w:val="none"/>
          <w:vertAlign w:val="baseline"/>
        </w:rPr>
        <w:t>.</w:t>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tab/>
      </w:r>
      <w:r>
        <w:rPr>
          <w:rFonts w:cs="David Libre"/>
          <w:b w:val="false"/>
          <w:bCs w:val="false"/>
          <w:i w:val="false"/>
          <w:iCs w:val="false"/>
          <w:position w:val="0"/>
          <w:sz w:val="24"/>
          <w:sz w:val="24"/>
          <w:szCs w:val="24"/>
          <w:u w:val="none"/>
          <w:vertAlign w:val="baseline"/>
        </w:rPr>
        <w:t>Human purpose, states Aristotle, is a product of man’s work in virtue of his being a man – separate and superior to that man himself</w:t>
      </w:r>
      <w:r>
        <w:rPr>
          <w:rStyle w:val="FootnoteAnchor"/>
          <w:rFonts w:cs="David Libre"/>
          <w:b w:val="false"/>
          <w:bCs w:val="false"/>
          <w:i w:val="false"/>
          <w:iCs w:val="false"/>
          <w:position w:val="0"/>
          <w:sz w:val="24"/>
          <w:sz w:val="24"/>
          <w:szCs w:val="24"/>
          <w:u w:val="none"/>
          <w:vertAlign w:val="baseline"/>
        </w:rPr>
        <w:footnoteReference w:id="8"/>
      </w:r>
      <w:r>
        <w:rPr>
          <w:rFonts w:cs="David Libre"/>
          <w:b w:val="false"/>
          <w:bCs w:val="false"/>
          <w:i w:val="false"/>
          <w:iCs w:val="false"/>
          <w:position w:val="0"/>
          <w:sz w:val="24"/>
          <w:sz w:val="24"/>
          <w:szCs w:val="24"/>
          <w:u w:val="none"/>
          <w:vertAlign w:val="baseline"/>
        </w:rPr>
        <w:t>. Being the greatest good, that purpose must be perfect – wanted of itself and not as a means to any other purpose. Aristotle states this purpose as happiness, which we all seek, and for which we choose how to act in the world</w:t>
      </w:r>
      <w:r>
        <w:rPr>
          <w:rStyle w:val="FootnoteAnchor"/>
          <w:rFonts w:cs="David Libre"/>
          <w:b w:val="false"/>
          <w:bCs w:val="false"/>
          <w:i w:val="false"/>
          <w:iCs w:val="false"/>
          <w:position w:val="0"/>
          <w:sz w:val="24"/>
          <w:sz w:val="24"/>
          <w:szCs w:val="24"/>
          <w:u w:val="none"/>
          <w:vertAlign w:val="baseline"/>
        </w:rPr>
        <w:footnoteReference w:id="9"/>
      </w:r>
      <w:r>
        <w:rPr>
          <w:rFonts w:cs="David Libre"/>
          <w:b w:val="false"/>
          <w:bCs w:val="false"/>
          <w:i w:val="false"/>
          <w:iCs w:val="false"/>
          <w:position w:val="0"/>
          <w:sz w:val="24"/>
          <w:sz w:val="24"/>
          <w:szCs w:val="24"/>
          <w:u w:val="none"/>
          <w:vertAlign w:val="baseline"/>
        </w:rPr>
        <w:t>. But here, we must make an important distinction from the usual definition of happiness: since man, in virtue of his being a man, is a political creature, his own good is not merely his own – as we tend to think today – but the happiness of his family, friends, and fellow citizens: the purpose of man, as stated, is superior to the man himself. Therefore, the good man is the one who’s work and way of life fulfills his purpose – the happiness of the multitude – in the best and most excellent way. And how might a man live the happy life?</w:t>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tab/>
      </w:r>
      <w:r>
        <w:rPr>
          <w:rFonts w:cs="David Libre"/>
          <w:b w:val="false"/>
          <w:bCs w:val="false"/>
          <w:i w:val="false"/>
          <w:iCs w:val="false"/>
          <w:position w:val="0"/>
          <w:sz w:val="24"/>
          <w:sz w:val="24"/>
          <w:szCs w:val="24"/>
          <w:u w:val="none"/>
          <w:vertAlign w:val="baseline"/>
        </w:rPr>
        <w:t>Unlike all other natural beings, man’s inner motion is not enough to fulfill this purpose. To live the happy life, states Aristotle, man must live the life of virtue</w:t>
      </w:r>
      <w:r>
        <w:rPr>
          <w:rStyle w:val="FootnoteAnchor"/>
          <w:rFonts w:cs="David Libre"/>
          <w:b w:val="false"/>
          <w:bCs w:val="false"/>
          <w:i w:val="false"/>
          <w:iCs w:val="false"/>
          <w:position w:val="0"/>
          <w:sz w:val="24"/>
          <w:sz w:val="24"/>
          <w:szCs w:val="24"/>
          <w:u w:val="none"/>
          <w:vertAlign w:val="baseline"/>
        </w:rPr>
        <w:footnoteReference w:id="10"/>
      </w:r>
      <w:r>
        <w:rPr>
          <w:rFonts w:cs="David Libre"/>
          <w:b w:val="false"/>
          <w:bCs w:val="false"/>
          <w:i w:val="false"/>
          <w:iCs w:val="false"/>
          <w:position w:val="0"/>
          <w:sz w:val="24"/>
          <w:sz w:val="24"/>
          <w:szCs w:val="24"/>
          <w:u w:val="none"/>
          <w:vertAlign w:val="baseline"/>
        </w:rPr>
        <w:t xml:space="preserve"> - and that virtue is not natural, but according to nature</w:t>
      </w:r>
      <w:r>
        <w:rPr>
          <w:rStyle w:val="FootnoteAnchor"/>
          <w:rFonts w:cs="David Libre"/>
          <w:b w:val="false"/>
          <w:bCs w:val="false"/>
          <w:i w:val="false"/>
          <w:iCs w:val="false"/>
          <w:position w:val="0"/>
          <w:sz w:val="24"/>
          <w:sz w:val="24"/>
          <w:szCs w:val="24"/>
          <w:u w:val="none"/>
          <w:vertAlign w:val="baseline"/>
        </w:rPr>
        <w:footnoteReference w:id="11"/>
      </w:r>
      <w:r>
        <w:rPr>
          <w:rFonts w:cs="David Libre"/>
          <w:b w:val="false"/>
          <w:bCs w:val="false"/>
          <w:i w:val="false"/>
          <w:iCs w:val="false"/>
          <w:position w:val="0"/>
          <w:sz w:val="24"/>
          <w:sz w:val="24"/>
          <w:szCs w:val="24"/>
          <w:u w:val="none"/>
          <w:vertAlign w:val="baseline"/>
        </w:rPr>
        <w:t xml:space="preserve"> - it will not be expressed of its own accord, but by choice and deliberate nurture. The man who, by the force of habit, perfect his natural inclination towards this </w:t>
      </w:r>
      <w:r>
        <w:rPr>
          <w:rFonts w:cs="David Libre"/>
          <w:b w:val="false"/>
          <w:bCs w:val="false"/>
          <w:i w:val="false"/>
          <w:iCs w:val="false"/>
          <w:position w:val="0"/>
          <w:sz w:val="24"/>
          <w:sz w:val="24"/>
          <w:szCs w:val="24"/>
          <w:u w:val="none"/>
          <w:vertAlign w:val="baseline"/>
        </w:rPr>
        <w:t>drive, will sculpt his character according the that good virtue</w:t>
      </w:r>
      <w:r>
        <w:rPr>
          <w:rStyle w:val="FootnoteAnchor"/>
          <w:rFonts w:cs="David Libre"/>
          <w:b w:val="false"/>
          <w:bCs w:val="false"/>
          <w:i w:val="false"/>
          <w:iCs w:val="false"/>
          <w:position w:val="0"/>
          <w:sz w:val="24"/>
          <w:sz w:val="24"/>
          <w:szCs w:val="24"/>
          <w:u w:val="none"/>
          <w:vertAlign w:val="baseline"/>
        </w:rPr>
        <w:footnoteReference w:id="12"/>
      </w:r>
      <w:r>
        <w:rPr>
          <w:rFonts w:cs="David Libre"/>
          <w:b w:val="false"/>
          <w:bCs w:val="false"/>
          <w:i w:val="false"/>
          <w:iCs w:val="false"/>
          <w:position w:val="0"/>
          <w:sz w:val="24"/>
          <w:sz w:val="24"/>
          <w:szCs w:val="24"/>
          <w:u w:val="none"/>
          <w:vertAlign w:val="baseline"/>
        </w:rPr>
        <w:t>; the good character will allow him to act out of the correct emotion – he will feel the proper amounts of pleasure and pain in his actions</w:t>
      </w:r>
      <w:r>
        <w:rPr>
          <w:rStyle w:val="FootnoteAnchor"/>
          <w:rFonts w:cs="David Libre"/>
          <w:b w:val="false"/>
          <w:bCs w:val="false"/>
          <w:i w:val="false"/>
          <w:iCs w:val="false"/>
          <w:position w:val="0"/>
          <w:sz w:val="24"/>
          <w:sz w:val="24"/>
          <w:szCs w:val="24"/>
          <w:u w:val="none"/>
          <w:vertAlign w:val="baseline"/>
        </w:rPr>
        <w:footnoteReference w:id="13"/>
      </w:r>
      <w:r>
        <w:rPr>
          <w:rFonts w:cs="David Libre"/>
          <w:b w:val="false"/>
          <w:bCs w:val="false"/>
          <w:i w:val="false"/>
          <w:iCs w:val="false"/>
          <w:position w:val="0"/>
          <w:sz w:val="24"/>
          <w:sz w:val="24"/>
          <w:szCs w:val="24"/>
          <w:u w:val="none"/>
          <w:vertAlign w:val="baseline"/>
        </w:rPr>
        <w:t>; and out of that work, should man choose, virtue arises – the productive inclination for good deeds regarding pleasures and pains</w:t>
      </w:r>
      <w:r>
        <w:rPr>
          <w:rStyle w:val="FootnoteAnchor"/>
          <w:rFonts w:cs="David Libre"/>
          <w:b w:val="false"/>
          <w:bCs w:val="false"/>
          <w:i w:val="false"/>
          <w:iCs w:val="false"/>
          <w:position w:val="0"/>
          <w:sz w:val="24"/>
          <w:sz w:val="24"/>
          <w:szCs w:val="24"/>
          <w:u w:val="none"/>
          <w:vertAlign w:val="baseline"/>
        </w:rPr>
        <w:footnoteReference w:id="14"/>
      </w:r>
      <w:r>
        <w:rPr>
          <w:rFonts w:cs="David Libre"/>
          <w:b w:val="false"/>
          <w:bCs w:val="false"/>
          <w:i w:val="false"/>
          <w:iCs w:val="false"/>
          <w:position w:val="0"/>
          <w:sz w:val="24"/>
          <w:sz w:val="24"/>
          <w:szCs w:val="24"/>
          <w:u w:val="none"/>
          <w:vertAlign w:val="baseline"/>
        </w:rPr>
        <w:t>. The virtuous man is the one who will choose how to act and how to conduct himself in the best way in all his doings – not by passion and fear, but by what is beautiful</w:t>
      </w:r>
      <w:r>
        <w:rPr>
          <w:rStyle w:val="FootnoteAnchor"/>
          <w:rFonts w:cs="David Libre"/>
          <w:b w:val="false"/>
          <w:bCs w:val="false"/>
          <w:i w:val="false"/>
          <w:iCs w:val="false"/>
          <w:position w:val="0"/>
          <w:sz w:val="24"/>
          <w:sz w:val="24"/>
          <w:szCs w:val="24"/>
          <w:u w:val="none"/>
          <w:vertAlign w:val="baseline"/>
        </w:rPr>
        <w:footnoteReference w:id="15"/>
      </w:r>
      <w:r>
        <w:rPr>
          <w:rFonts w:cs="David Libre"/>
          <w:b w:val="false"/>
          <w:bCs w:val="false"/>
          <w:i w:val="false"/>
          <w:iCs w:val="false"/>
          <w:position w:val="0"/>
          <w:sz w:val="24"/>
          <w:sz w:val="24"/>
          <w:szCs w:val="24"/>
          <w:u w:val="none"/>
          <w:vertAlign w:val="baseline"/>
        </w:rPr>
        <w:t>. In light of all this, that beautiful is the best action towards the fulfillment of man’s purpose – the happiness of the multitude.</w:t>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tab/>
      </w:r>
      <w:r>
        <w:rPr>
          <w:rFonts w:cs="David Libre"/>
          <w:b w:val="false"/>
          <w:bCs w:val="false"/>
          <w:i w:val="false"/>
          <w:iCs w:val="false"/>
          <w:position w:val="0"/>
          <w:sz w:val="24"/>
          <w:sz w:val="24"/>
          <w:szCs w:val="24"/>
          <w:u w:val="none"/>
          <w:vertAlign w:val="baseline"/>
        </w:rPr>
        <w:t>Such human excellence is, of course, extremely difficult – as clearly demonstrated by Aristotle’s description of courage. The courageous man, says Aristotle, is the one who does not fear a beautiful death</w:t>
      </w:r>
      <w:r>
        <w:rPr>
          <w:rStyle w:val="FootnoteAnchor"/>
          <w:rFonts w:cs="David Libre"/>
          <w:b w:val="false"/>
          <w:bCs w:val="false"/>
          <w:i w:val="false"/>
          <w:iCs w:val="false"/>
          <w:position w:val="0"/>
          <w:sz w:val="24"/>
          <w:sz w:val="24"/>
          <w:szCs w:val="24"/>
          <w:u w:val="none"/>
          <w:vertAlign w:val="baseline"/>
        </w:rPr>
        <w:footnoteReference w:id="16"/>
      </w:r>
      <w:r>
        <w:rPr>
          <w:rFonts w:cs="David Libre"/>
          <w:b w:val="false"/>
          <w:bCs w:val="false"/>
          <w:i w:val="false"/>
          <w:iCs w:val="false"/>
          <w:position w:val="0"/>
          <w:sz w:val="24"/>
          <w:sz w:val="24"/>
          <w:szCs w:val="24"/>
          <w:u w:val="none"/>
          <w:vertAlign w:val="baseline"/>
        </w:rPr>
        <w:t>, and chooses it out of the right emotion – because he fears the things worthy to be feared, and does not fear what is unworthy to be feared</w:t>
      </w:r>
      <w:r>
        <w:rPr>
          <w:rStyle w:val="FootnoteAnchor"/>
          <w:rFonts w:cs="David Libre"/>
          <w:b w:val="false"/>
          <w:bCs w:val="false"/>
          <w:i w:val="false"/>
          <w:iCs w:val="false"/>
          <w:position w:val="0"/>
          <w:sz w:val="24"/>
          <w:sz w:val="24"/>
          <w:szCs w:val="24"/>
          <w:u w:val="none"/>
          <w:vertAlign w:val="baseline"/>
        </w:rPr>
        <w:footnoteReference w:id="17"/>
      </w:r>
      <w:r>
        <w:rPr>
          <w:rFonts w:cs="David Libre"/>
          <w:b w:val="false"/>
          <w:bCs w:val="false"/>
          <w:i w:val="false"/>
          <w:iCs w:val="false"/>
          <w:position w:val="0"/>
          <w:sz w:val="24"/>
          <w:sz w:val="24"/>
          <w:szCs w:val="24"/>
          <w:u w:val="none"/>
          <w:vertAlign w:val="baseline"/>
        </w:rPr>
        <w:t>.  Aristotle thus justly describes courage as death in battle: the brave man who sacrifices his life stands strong in the face of death, the most terrifying thing, because he chooses it – free of fear and passion – to fulfill the happiness of the multitude.</w:t>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before="0" w:after="0"/>
        <w:ind w:left="0" w:right="0" w:firstLine="58"/>
        <w:contextualSpacing/>
        <w:jc w:val="both"/>
        <w:rPr>
          <w:rFonts w:ascii="Times New Roman" w:hAnsi="Times New Roman" w:cs="David Libre"/>
          <w:b w:val="false"/>
          <w:b w:val="false"/>
          <w:bCs w:val="false"/>
          <w:i w:val="false"/>
          <w:i w:val="false"/>
          <w:iCs w:val="false"/>
          <w:position w:val="0"/>
          <w:sz w:val="24"/>
          <w:sz w:val="24"/>
          <w:szCs w:val="24"/>
          <w:u w:val="none"/>
          <w:vertAlign w:val="baseline"/>
        </w:rPr>
      </w:pPr>
      <w:r>
        <w:rPr>
          <w:rFonts w:cs="David Libre"/>
          <w:b w:val="false"/>
          <w:bCs w:val="false"/>
          <w:i w:val="false"/>
          <w:iCs w:val="false"/>
          <w:position w:val="0"/>
          <w:sz w:val="24"/>
          <w:sz w:val="24"/>
          <w:szCs w:val="24"/>
          <w:u w:val="none"/>
          <w:vertAlign w:val="baseline"/>
        </w:rPr>
      </w:r>
    </w:p>
    <w:p>
      <w:pPr>
        <w:pStyle w:val="Style13"/>
        <w:bidi w:val="0"/>
        <w:spacing w:lineRule="auto" w:line="360" w:before="0" w:after="0"/>
        <w:ind w:left="0" w:right="0" w:firstLine="58"/>
        <w:contextualSpacing/>
        <w:jc w:val="center"/>
        <w:rPr>
          <w:rFonts w:ascii="Times New Roman" w:hAnsi="Times New Roman" w:cs="David Libre"/>
          <w:b/>
          <w:b/>
          <w:bCs/>
          <w:i w:val="false"/>
          <w:i w:val="false"/>
          <w:iCs w:val="false"/>
          <w:position w:val="0"/>
          <w:sz w:val="24"/>
          <w:sz w:val="24"/>
          <w:szCs w:val="24"/>
          <w:vertAlign w:val="baseline"/>
        </w:rPr>
      </w:pPr>
      <w:r>
        <w:rPr>
          <w:rFonts w:cs="David Libre"/>
          <w:b/>
          <w:bCs/>
          <w:i w:val="false"/>
          <w:iCs w:val="false"/>
          <w:position w:val="0"/>
          <w:sz w:val="24"/>
          <w:sz w:val="24"/>
          <w:szCs w:val="24"/>
          <w:vertAlign w:val="baseline"/>
        </w:rPr>
        <w:t>Bibliography</w:t>
      </w:r>
    </w:p>
    <w:p>
      <w:pPr>
        <w:pStyle w:val="Normal"/>
        <w:bidi w:val="0"/>
        <w:spacing w:lineRule="auto" w:line="360"/>
        <w:jc w:val="center"/>
        <w:rPr>
          <w:rFonts w:cs="David CLM"/>
          <w:u w:val="none"/>
        </w:rPr>
      </w:pPr>
      <w:r>
        <w:rPr>
          <w:rFonts w:cs="David CLM"/>
          <w:u w:val="none"/>
          <w:rtl w:val="true"/>
        </w:rPr>
        <w:t>ליבס</w:t>
      </w:r>
      <w:r>
        <w:rPr>
          <w:rFonts w:cs="David CLM"/>
          <w:u w:val="none"/>
          <w:rtl w:val="true"/>
        </w:rPr>
        <w:t xml:space="preserve">, </w:t>
      </w:r>
      <w:r>
        <w:rPr>
          <w:rFonts w:cs="David CLM"/>
          <w:u w:val="none"/>
          <w:rtl w:val="true"/>
        </w:rPr>
        <w:t>יוסף</w:t>
      </w:r>
      <w:r>
        <w:rPr>
          <w:rFonts w:cs="David CLM"/>
          <w:u w:val="none"/>
          <w:rtl w:val="true"/>
        </w:rPr>
        <w:t xml:space="preserve">. </w:t>
      </w:r>
      <w:r>
        <w:rPr>
          <w:rFonts w:cs="David CLM"/>
          <w:u w:val="none"/>
          <w:rtl w:val="true"/>
        </w:rPr>
        <w:t>אתיקה – מהדורת ניקומאכוס</w:t>
      </w:r>
      <w:r>
        <w:rPr>
          <w:rFonts w:cs="David CLM"/>
          <w:u w:val="none"/>
          <w:rtl w:val="true"/>
        </w:rPr>
        <w:t xml:space="preserve">. </w:t>
      </w:r>
      <w:r>
        <w:rPr>
          <w:rFonts w:cs="David CLM"/>
          <w:u w:val="none"/>
          <w:rtl w:val="true"/>
        </w:rPr>
        <w:t>תרגם יוסף ליבס</w:t>
      </w:r>
      <w:r>
        <w:rPr>
          <w:rFonts w:cs="David CLM"/>
          <w:u w:val="none"/>
          <w:rtl w:val="true"/>
        </w:rPr>
        <w:t xml:space="preserve">. </w:t>
      </w:r>
      <w:r>
        <w:rPr>
          <w:rFonts w:cs="David CLM"/>
          <w:u w:val="none"/>
          <w:rtl w:val="true"/>
        </w:rPr>
        <w:t>ירושלים</w:t>
      </w:r>
      <w:r>
        <w:rPr>
          <w:rFonts w:cs="David CLM"/>
          <w:u w:val="none"/>
          <w:rtl w:val="true"/>
        </w:rPr>
        <w:t xml:space="preserve">: </w:t>
      </w:r>
      <w:r>
        <w:rPr>
          <w:rFonts w:cs="David CLM"/>
          <w:u w:val="none"/>
          <w:rtl w:val="true"/>
        </w:rPr>
        <w:t>הוצאת שוקן</w:t>
      </w:r>
      <w:r>
        <w:rPr>
          <w:rFonts w:cs="David CLM"/>
          <w:u w:val="none"/>
          <w:rtl w:val="true"/>
        </w:rPr>
        <w:t xml:space="preserve">, </w:t>
      </w:r>
      <w:r>
        <w:rPr>
          <w:rFonts w:cs="David CLM"/>
          <w:u w:val="none"/>
          <w:rtl w:val="true"/>
        </w:rPr>
        <w:t>תשמ</w:t>
      </w:r>
      <w:r>
        <w:rPr>
          <w:rFonts w:cs="David CLM"/>
          <w:u w:val="none"/>
          <w:rtl w:val="true"/>
        </w:rPr>
        <w:t>"</w:t>
      </w:r>
      <w:r>
        <w:rPr>
          <w:rFonts w:cs="David CLM"/>
          <w:u w:val="none"/>
          <w:rtl w:val="true"/>
        </w:rPr>
        <w:t xml:space="preserve">ה </w:t>
      </w:r>
      <w:r>
        <w:rPr>
          <w:rFonts w:cs="David CLM"/>
          <w:u w:val="none"/>
        </w:rPr>
        <w:t>1985</w:t>
      </w:r>
    </w:p>
    <w:p>
      <w:pPr>
        <w:pStyle w:val="Normal"/>
        <w:bidi w:val="0"/>
        <w:spacing w:lineRule="auto" w:line="360"/>
        <w:jc w:val="center"/>
        <w:rPr>
          <w:rFonts w:ascii="Times New Roman" w:hAnsi="Times New Roman"/>
        </w:rPr>
      </w:pPr>
      <w:r>
        <w:rPr>
          <w:rFonts w:ascii="Times New Roman" w:hAnsi="Times New Roman"/>
        </w:rPr>
        <w:t>Sachs, Joe. Aristotle's Nicomachean Ethics. Translated by Joe Sachs. Newberryport: Focus Publishing, 2002</w:t>
      </w:r>
    </w:p>
    <w:p>
      <w:pPr>
        <w:pStyle w:val="Normal"/>
        <w:bidi w:val="0"/>
        <w:spacing w:lineRule="auto" w:line="360"/>
        <w:jc w:val="center"/>
        <w:rPr>
          <w:rFonts w:ascii="Times New Roman" w:hAnsi="Times New Roman"/>
        </w:rPr>
      </w:pPr>
      <w:r>
        <w:rPr>
          <w:rFonts w:ascii="Times New Roman" w:hAnsi="Times New Roman"/>
        </w:rPr>
        <w:t xml:space="preserve">Sachs, Joe. Aristotle's Physics: A Guided Study. Translated by Joe Sachs . New Brunswick: ‎ Rutgers </w:t>
      </w:r>
      <w:r>
        <w:rPr>
          <w:rFonts w:ascii="Times New Roman" w:hAnsi="Times New Roman"/>
          <w:i w:val="false"/>
          <w:iCs w:val="false"/>
          <w:sz w:val="24"/>
          <w:szCs w:val="24"/>
        </w:rPr>
        <w:t>University Press,  1995</w:t>
      </w:r>
    </w:p>
    <w:p>
      <w:pPr>
        <w:pStyle w:val="Style13"/>
        <w:bidi w:val="0"/>
        <w:spacing w:lineRule="auto" w:line="360" w:before="0" w:after="0"/>
        <w:ind w:left="0" w:right="0" w:firstLine="58"/>
        <w:contextualSpacing/>
        <w:jc w:val="center"/>
        <w:rPr>
          <w:i w:val="false"/>
          <w:i w:val="false"/>
          <w:iCs w:val="false"/>
        </w:rPr>
      </w:pPr>
      <w:r>
        <w:rPr>
          <w:rFonts w:cs="David Libre"/>
          <w:b w:val="false"/>
          <w:bCs w:val="false"/>
          <w:i w:val="false"/>
          <w:iCs w:val="false"/>
          <w:position w:val="0"/>
          <w:sz w:val="24"/>
          <w:sz w:val="24"/>
          <w:szCs w:val="24"/>
          <w:u w:val="none"/>
          <w:vertAlign w:val="baseline"/>
        </w:rPr>
      </w:r>
    </w:p>
    <w:sectPr>
      <w:footnotePr>
        <w:numFmt w:val="decimal"/>
      </w:footnote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Calibri">
    <w:charset w:val="01"/>
    <w:family w:val="swiss"/>
    <w:pitch w:val="variable"/>
  </w:font>
  <w:font w:name="Liberation Sans">
    <w:altName w:val="Arial"/>
    <w:charset w:val="01"/>
    <w:family w:val="swiss"/>
    <w:pitch w:val="variable"/>
  </w:font>
  <w:font w:name="Times New Roman">
    <w:charset w:val="01"/>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
        <w:bidi w:val="1"/>
        <w:jc w:val="left"/>
        <w:rPr/>
      </w:pPr>
      <w:r>
        <w:rPr>
          <w:rStyle w:val="FootnoteCharacters"/>
        </w:rPr>
        <w:footnoteRef/>
      </w:r>
      <w:r>
        <w:rPr>
          <w:rtl w:val="true"/>
        </w:rPr>
        <w:tab/>
        <w:t>אריסטו</w:t>
      </w:r>
      <w:r>
        <w:rPr>
          <w:rtl w:val="true"/>
        </w:rPr>
        <w:t>, “</w:t>
      </w:r>
      <w:r>
        <w:rPr>
          <w:rtl w:val="true"/>
        </w:rPr>
        <w:t>אתיקה ניקומאכית</w:t>
      </w:r>
      <w:r>
        <w:rPr>
          <w:rtl w:val="true"/>
        </w:rPr>
        <w:t xml:space="preserve">" – </w:t>
      </w:r>
      <w:r>
        <w:rPr>
          <w:rtl w:val="true"/>
        </w:rPr>
        <w:t>ספר א’</w:t>
      </w:r>
      <w:r>
        <w:rPr>
          <w:rtl w:val="true"/>
        </w:rPr>
        <w:t xml:space="preserve">. </w:t>
      </w:r>
      <w:r>
        <w:rPr>
          <w:rtl w:val="true"/>
        </w:rPr>
        <w:t xml:space="preserve">בתוך </w:t>
      </w:r>
      <w:r>
        <w:rPr>
          <w:i/>
          <w:i/>
          <w:iCs/>
          <w:rtl w:val="true"/>
        </w:rPr>
        <w:t>אתיקה – מהדורת ניקואכוס</w:t>
      </w:r>
      <w:r>
        <w:rPr>
          <w:i w:val="false"/>
          <w:iCs w:val="false"/>
          <w:rtl w:val="true"/>
        </w:rPr>
        <w:t xml:space="preserve">. </w:t>
      </w:r>
      <w:r>
        <w:rPr>
          <w:i w:val="false"/>
          <w:i w:val="false"/>
          <w:iCs w:val="false"/>
          <w:rtl w:val="true"/>
        </w:rPr>
        <w:t xml:space="preserve">תרגם יוסף ליבס </w:t>
      </w:r>
      <w:r>
        <w:rPr>
          <w:i w:val="false"/>
          <w:iCs w:val="false"/>
          <w:rtl w:val="true"/>
        </w:rPr>
        <w:t>(</w:t>
      </w:r>
      <w:r>
        <w:rPr>
          <w:i w:val="false"/>
          <w:i w:val="false"/>
          <w:iCs w:val="false"/>
          <w:rtl w:val="true"/>
        </w:rPr>
        <w:t>ירושלים</w:t>
      </w:r>
      <w:r>
        <w:rPr>
          <w:i w:val="false"/>
          <w:iCs w:val="false"/>
          <w:rtl w:val="true"/>
        </w:rPr>
        <w:t xml:space="preserve">: </w:t>
      </w:r>
      <w:r>
        <w:rPr>
          <w:i w:val="false"/>
          <w:i w:val="false"/>
          <w:iCs w:val="false"/>
          <w:rtl w:val="true"/>
        </w:rPr>
        <w:t>הצואת שוקן</w:t>
      </w:r>
      <w:r>
        <w:rPr>
          <w:i w:val="false"/>
          <w:iCs w:val="false"/>
          <w:rtl w:val="true"/>
        </w:rPr>
        <w:t xml:space="preserve">,  </w:t>
      </w:r>
      <w:r>
        <w:rPr>
          <w:i w:val="false"/>
          <w:i w:val="false"/>
          <w:iCs w:val="false"/>
          <w:rtl w:val="true"/>
        </w:rPr>
        <w:t>תשמ</w:t>
      </w:r>
      <w:r>
        <w:rPr>
          <w:i w:val="false"/>
          <w:iCs w:val="false"/>
          <w:rtl w:val="true"/>
        </w:rPr>
        <w:t>"</w:t>
      </w:r>
      <w:r>
        <w:rPr>
          <w:i w:val="false"/>
          <w:i w:val="false"/>
          <w:iCs w:val="false"/>
          <w:rtl w:val="true"/>
        </w:rPr>
        <w:t xml:space="preserve">ה </w:t>
      </w:r>
      <w:r>
        <w:rPr>
          <w:i w:val="false"/>
          <w:iCs w:val="false"/>
        </w:rPr>
        <w:t>1985</w:t>
      </w:r>
      <w:r>
        <w:rPr>
          <w:i w:val="false"/>
          <w:iCs w:val="false"/>
          <w:rtl w:val="true"/>
        </w:rPr>
        <w:t xml:space="preserve">), </w:t>
      </w:r>
      <w:r>
        <w:rPr>
          <w:i w:val="false"/>
          <w:i w:val="false"/>
          <w:iCs w:val="false"/>
          <w:rtl w:val="true"/>
        </w:rPr>
        <w:t>עמ</w:t>
      </w:r>
      <w:r>
        <w:rPr>
          <w:i w:val="false"/>
          <w:iCs w:val="false"/>
          <w:rtl w:val="true"/>
        </w:rPr>
        <w:t xml:space="preserve">' </w:t>
      </w:r>
      <w:r>
        <w:rPr>
          <w:i w:val="false"/>
          <w:iCs w:val="false"/>
        </w:rPr>
        <w:t>15</w:t>
      </w:r>
      <w:r>
        <w:rPr>
          <w:i w:val="false"/>
          <w:iCs w:val="false"/>
          <w:rtl w:val="true"/>
        </w:rPr>
        <w:t xml:space="preserve">,  </w:t>
      </w:r>
      <w:r>
        <w:rPr>
          <w:i w:val="false"/>
          <w:i w:val="false"/>
          <w:iCs w:val="false"/>
          <w:rtl w:val="true"/>
        </w:rPr>
        <w:t>פס</w:t>
      </w:r>
      <w:r>
        <w:rPr>
          <w:i w:val="false"/>
          <w:iCs w:val="false"/>
          <w:rtl w:val="true"/>
        </w:rPr>
        <w:t xml:space="preserve">' </w:t>
      </w:r>
      <w:r>
        <w:rPr>
          <w:i w:val="false"/>
          <w:iCs w:val="false"/>
        </w:rPr>
        <w:t>1094</w:t>
      </w:r>
    </w:p>
  </w:footnote>
  <w:footnote w:id="3">
    <w:p>
      <w:pPr>
        <w:pStyle w:val="Footnote"/>
        <w:bidi w:val="0"/>
        <w:jc w:val="left"/>
        <w:rPr/>
      </w:pPr>
      <w:r>
        <w:rPr>
          <w:rStyle w:val="FootnoteCharacters"/>
        </w:rPr>
        <w:footnoteRef/>
      </w:r>
      <w:r>
        <w:rPr/>
        <w:tab/>
        <w:t>Aristotle, “Nicomachean Ethics”, Book II. In</w:t>
      </w:r>
      <w:r>
        <w:rPr>
          <w:i/>
          <w:iCs/>
        </w:rPr>
        <w:t xml:space="preserve"> </w:t>
      </w:r>
      <w:bookmarkStart w:id="0" w:name="title3"/>
      <w:bookmarkStart w:id="1" w:name="productTitle3"/>
      <w:bookmarkEnd w:id="0"/>
      <w:bookmarkEnd w:id="1"/>
      <w:r>
        <w:rPr>
          <w:i/>
          <w:iCs/>
        </w:rPr>
        <w:t>Aristotle's Nicomachean Ethics</w:t>
      </w:r>
      <w:r>
        <w:rPr>
          <w:i w:val="false"/>
          <w:iCs w:val="false"/>
        </w:rPr>
        <w:t>. Tr. Joe Sachs (Newberryport: Focus Publishing, 2002),</w:t>
      </w:r>
      <w:r>
        <w:rPr>
          <w:i/>
          <w:iCs/>
        </w:rPr>
        <w:t xml:space="preserve"> </w:t>
      </w:r>
      <w:r>
        <w:rPr>
          <w:i w:val="false"/>
          <w:iCs w:val="false"/>
        </w:rPr>
        <w:t>p. 21, para.</w:t>
      </w:r>
      <w:r>
        <w:rPr/>
        <w:t xml:space="preserve"> 1103b30</w:t>
      </w:r>
    </w:p>
  </w:footnote>
  <w:footnote w:id="4">
    <w:p>
      <w:pPr>
        <w:pStyle w:val="Footnote"/>
        <w:bidi w:val="0"/>
        <w:jc w:val="left"/>
        <w:rPr/>
      </w:pPr>
      <w:r>
        <w:rPr>
          <w:rStyle w:val="FootnoteCharacters"/>
        </w:rPr>
        <w:footnoteRef/>
      </w:r>
      <w:r>
        <w:rPr/>
        <w:tab/>
        <w:t>Aristotle, “Physics”, Book 2. In</w:t>
      </w:r>
      <w:r>
        <w:rPr>
          <w:i/>
          <w:iCs/>
        </w:rPr>
        <w:t xml:space="preserve"> </w:t>
      </w:r>
      <w:bookmarkStart w:id="2" w:name="title11"/>
      <w:bookmarkStart w:id="3" w:name="productTitle11"/>
      <w:bookmarkEnd w:id="2"/>
      <w:bookmarkEnd w:id="3"/>
      <w:r>
        <w:rPr>
          <w:i/>
          <w:iCs/>
        </w:rPr>
        <w:t>Aristotle's Physics: A Guided Study</w:t>
      </w:r>
      <w:r>
        <w:rPr>
          <w:i w:val="false"/>
          <w:iCs w:val="false"/>
        </w:rPr>
        <w:t>. Tr. Joe Sachs (New Brunswick: ‎ Rutgers University Press,  1995). p. 49</w:t>
      </w:r>
      <w:r>
        <w:rPr/>
        <w:t>, para. 192b</w:t>
      </w:r>
    </w:p>
  </w:footnote>
  <w:footnote w:id="5">
    <w:p>
      <w:pPr>
        <w:pStyle w:val="Footnote"/>
        <w:bidi w:val="0"/>
        <w:jc w:val="left"/>
        <w:rPr/>
      </w:pPr>
      <w:r>
        <w:rPr>
          <w:rStyle w:val="FootnoteCharacters"/>
        </w:rPr>
        <w:footnoteRef/>
      </w:r>
      <w:r>
        <w:rPr/>
        <w:tab/>
        <w:t>Sachs (1995), p. 54, para. 195a</w:t>
      </w:r>
    </w:p>
  </w:footnote>
  <w:footnote w:id="6">
    <w:p>
      <w:pPr>
        <w:pStyle w:val="Footnote"/>
        <w:bidi w:val="0"/>
        <w:jc w:val="left"/>
        <w:rPr/>
      </w:pPr>
      <w:r>
        <w:rPr>
          <w:rStyle w:val="FootnoteCharacters"/>
        </w:rPr>
        <w:footnoteRef/>
      </w:r>
      <w:r>
        <w:rPr/>
        <w:tab/>
        <w:t>Sachs (1995), p. 54, para. 195a</w:t>
      </w:r>
    </w:p>
  </w:footnote>
  <w:footnote w:id="7">
    <w:p>
      <w:pPr>
        <w:pStyle w:val="Footnote"/>
        <w:bidi w:val="0"/>
        <w:jc w:val="left"/>
        <w:rPr/>
      </w:pPr>
      <w:r>
        <w:rPr>
          <w:rStyle w:val="FootnoteCharacters"/>
        </w:rPr>
        <w:footnoteRef/>
      </w:r>
      <w:r>
        <w:rPr>
          <w:i w:val="false"/>
          <w:iCs w:val="false"/>
        </w:rPr>
        <w:tab/>
        <w:t>Sachs (2002),</w:t>
      </w:r>
      <w:r>
        <w:rPr>
          <w:i/>
          <w:iCs/>
        </w:rPr>
        <w:t xml:space="preserve"> </w:t>
      </w:r>
      <w:r>
        <w:rPr>
          <w:i w:val="false"/>
          <w:iCs w:val="false"/>
        </w:rPr>
        <w:t>p. 21, para.</w:t>
      </w:r>
      <w:r>
        <w:rPr/>
        <w:t xml:space="preserve"> 1103b30</w:t>
      </w:r>
    </w:p>
  </w:footnote>
  <w:footnote w:id="8">
    <w:p>
      <w:pPr>
        <w:pStyle w:val="Footnote"/>
        <w:bidi w:val="0"/>
        <w:jc w:val="left"/>
        <w:rPr/>
      </w:pPr>
      <w:r>
        <w:rPr>
          <w:rStyle w:val="FootnoteCharacters"/>
        </w:rPr>
        <w:footnoteRef/>
      </w:r>
      <w:r>
        <w:rPr/>
        <w:tab/>
        <w:t>Aristotle, “Nicomachean Ethics”, Book I. In</w:t>
      </w:r>
      <w:r>
        <w:rPr>
          <w:i/>
          <w:iCs/>
        </w:rPr>
        <w:t xml:space="preserve"> </w:t>
      </w:r>
      <w:bookmarkStart w:id="4" w:name="title41"/>
      <w:bookmarkStart w:id="5" w:name="productTitle41"/>
      <w:bookmarkEnd w:id="4"/>
      <w:bookmarkEnd w:id="5"/>
      <w:r>
        <w:rPr>
          <w:i/>
          <w:iCs/>
        </w:rPr>
        <w:t>Aristotle's Nicomachean Ethics</w:t>
      </w:r>
      <w:r>
        <w:rPr>
          <w:i w:val="false"/>
          <w:iCs w:val="false"/>
        </w:rPr>
        <w:t>. Tr. Joe Sachs (Newberryport: Focus Publishing, 2002),</w:t>
      </w:r>
      <w:r>
        <w:rPr>
          <w:i/>
          <w:iCs/>
        </w:rPr>
        <w:t xml:space="preserve"> </w:t>
      </w:r>
      <w:r>
        <w:rPr>
          <w:i w:val="false"/>
          <w:iCs w:val="false"/>
        </w:rPr>
        <w:t>p.1, para.</w:t>
      </w:r>
      <w:r>
        <w:rPr/>
        <w:t>1094a</w:t>
      </w:r>
    </w:p>
  </w:footnote>
  <w:footnote w:id="9">
    <w:p>
      <w:pPr>
        <w:pStyle w:val="Footnote"/>
        <w:bidi w:val="0"/>
        <w:jc w:val="left"/>
        <w:rPr/>
      </w:pPr>
      <w:r>
        <w:rPr>
          <w:rStyle w:val="FootnoteCharacters"/>
        </w:rPr>
        <w:footnoteRef/>
      </w:r>
      <w:r>
        <w:rPr/>
        <w:tab/>
        <w:t>Ibid, p. 10, para. 1097a30-1097b</w:t>
      </w:r>
    </w:p>
  </w:footnote>
  <w:footnote w:id="10">
    <w:p>
      <w:pPr>
        <w:pStyle w:val="Footnote"/>
        <w:bidi w:val="0"/>
        <w:jc w:val="left"/>
        <w:rPr/>
      </w:pPr>
      <w:r>
        <w:rPr>
          <w:rStyle w:val="FootnoteCharacters"/>
        </w:rPr>
        <w:footnoteRef/>
      </w:r>
      <w:r>
        <w:rPr/>
        <w:tab/>
        <w:t>Ibid. pp. 11-2, para. 1098a10-20</w:t>
      </w:r>
    </w:p>
  </w:footnote>
  <w:footnote w:id="11">
    <w:p>
      <w:pPr>
        <w:pStyle w:val="Footnote"/>
        <w:bidi w:val="0"/>
        <w:jc w:val="left"/>
        <w:rPr/>
      </w:pPr>
      <w:r>
        <w:rPr>
          <w:rStyle w:val="FootnoteCharacters"/>
        </w:rPr>
        <w:footnoteRef/>
      </w:r>
      <w:r>
        <w:rPr/>
        <w:tab/>
        <w:t>Aristotle, “Nicomachean Ethics”, Book II. In</w:t>
      </w:r>
      <w:r>
        <w:rPr>
          <w:i/>
          <w:iCs/>
        </w:rPr>
        <w:t xml:space="preserve"> </w:t>
      </w:r>
      <w:bookmarkStart w:id="6" w:name="title52"/>
      <w:bookmarkStart w:id="7" w:name="productTitle52"/>
      <w:bookmarkEnd w:id="6"/>
      <w:bookmarkEnd w:id="7"/>
      <w:r>
        <w:rPr>
          <w:i/>
          <w:iCs/>
        </w:rPr>
        <w:t>Aristotle's Nicomachean Ethics</w:t>
      </w:r>
      <w:r>
        <w:rPr>
          <w:i w:val="false"/>
          <w:iCs w:val="false"/>
        </w:rPr>
        <w:t>. Tr. Joe Sachs (Newberryport: Focus Publishing, 2002),</w:t>
      </w:r>
      <w:r>
        <w:rPr>
          <w:i/>
          <w:iCs/>
        </w:rPr>
        <w:t xml:space="preserve"> </w:t>
      </w:r>
      <w:r>
        <w:rPr>
          <w:i w:val="false"/>
          <w:iCs w:val="false"/>
        </w:rPr>
        <w:t>p. 22, para.</w:t>
      </w:r>
      <w:r>
        <w:rPr/>
        <w:t xml:space="preserve"> 1103a20</w:t>
      </w:r>
    </w:p>
  </w:footnote>
  <w:footnote w:id="12">
    <w:p>
      <w:pPr>
        <w:pStyle w:val="Footnote"/>
        <w:bidi w:val="0"/>
        <w:jc w:val="left"/>
        <w:rPr/>
      </w:pPr>
      <w:r>
        <w:rPr>
          <w:rStyle w:val="FootnoteCharacters"/>
        </w:rPr>
        <w:footnoteRef/>
      </w:r>
      <w:r>
        <w:rPr/>
        <w:tab/>
        <w:t>Book II, Chapter II, 1103a10-20</w:t>
      </w:r>
    </w:p>
  </w:footnote>
  <w:footnote w:id="13">
    <w:p>
      <w:pPr>
        <w:pStyle w:val="Footnote"/>
        <w:bidi w:val="0"/>
        <w:jc w:val="left"/>
        <w:rPr/>
      </w:pPr>
      <w:r>
        <w:rPr>
          <w:rStyle w:val="FootnoteCharacters"/>
        </w:rPr>
        <w:footnoteRef/>
      </w:r>
      <w:r>
        <w:rPr/>
        <w:tab/>
        <w:t>Ibid, p.24, para. 1104b10</w:t>
      </w:r>
    </w:p>
  </w:footnote>
  <w:footnote w:id="14">
    <w:p>
      <w:pPr>
        <w:pStyle w:val="Footnote"/>
        <w:bidi w:val="0"/>
        <w:jc w:val="left"/>
        <w:rPr/>
      </w:pPr>
      <w:r>
        <w:rPr>
          <w:rStyle w:val="FootnoteCharacters"/>
        </w:rPr>
        <w:footnoteRef/>
      </w:r>
      <w:r>
        <w:rPr/>
        <w:tab/>
        <w:t>Ibid, p. 25, para.1104b30</w:t>
      </w:r>
    </w:p>
  </w:footnote>
  <w:footnote w:id="15">
    <w:p>
      <w:pPr>
        <w:pStyle w:val="Footnote"/>
        <w:bidi w:val="0"/>
        <w:jc w:val="left"/>
        <w:rPr/>
      </w:pPr>
      <w:r>
        <w:rPr>
          <w:rStyle w:val="FootnoteCharacters"/>
        </w:rPr>
        <w:footnoteRef/>
      </w:r>
      <w:r>
        <w:rPr/>
        <w:tab/>
        <w:t>Ibid, pp.25-6, para. 1105a</w:t>
      </w:r>
    </w:p>
  </w:footnote>
  <w:footnote w:id="16">
    <w:p>
      <w:pPr>
        <w:pStyle w:val="Footnote"/>
        <w:bidi w:val="0"/>
        <w:jc w:val="left"/>
        <w:rPr/>
      </w:pPr>
      <w:r>
        <w:rPr>
          <w:rStyle w:val="FootnoteCharacters"/>
        </w:rPr>
        <w:footnoteRef/>
      </w:r>
      <w:r>
        <w:rPr/>
        <w:tab/>
        <w:t>Aristotle, “Nicomachean Ethics”, Book III. In</w:t>
      </w:r>
      <w:r>
        <w:rPr>
          <w:i/>
          <w:iCs/>
        </w:rPr>
        <w:t xml:space="preserve"> </w:t>
      </w:r>
      <w:bookmarkStart w:id="8" w:name="title511"/>
      <w:bookmarkStart w:id="9" w:name="productTitle511"/>
      <w:bookmarkEnd w:id="8"/>
      <w:bookmarkEnd w:id="9"/>
      <w:r>
        <w:rPr>
          <w:i/>
          <w:iCs/>
        </w:rPr>
        <w:t>Aristotle's Nicomachean Ethics</w:t>
      </w:r>
      <w:r>
        <w:rPr>
          <w:i w:val="false"/>
          <w:iCs w:val="false"/>
        </w:rPr>
        <w:t>. Tr. Joe Sachs (Newberryport: Focus Publishing, 2002), p.49, para.</w:t>
      </w:r>
      <w:r>
        <w:rPr>
          <w:i/>
          <w:iCs/>
        </w:rPr>
        <w:t xml:space="preserve"> </w:t>
      </w:r>
      <w:r>
        <w:rPr/>
        <w:t>1115b</w:t>
      </w:r>
    </w:p>
  </w:footnote>
  <w:footnote w:id="17">
    <w:p>
      <w:pPr>
        <w:pStyle w:val="Footnote"/>
        <w:bidi w:val="0"/>
        <w:jc w:val="left"/>
        <w:rPr/>
      </w:pPr>
      <w:r>
        <w:rPr>
          <w:rStyle w:val="FootnoteCharacters"/>
        </w:rPr>
        <w:footnoteRef/>
      </w:r>
      <w:r>
        <w:rPr/>
        <w:tab/>
        <w:t>Ibid, p.50, para. 1116a10</w:t>
      </w:r>
    </w:p>
  </w:footnote>
</w:footnotes>
</file>

<file path=word/settings.xml><?xml version="1.0" encoding="utf-8"?>
<w:settings xmlns:w="http://schemas.openxmlformats.org/wordprocessingml/2006/main">
  <w:zoom w:percent="120"/>
  <w:defaultTabStop w:val="709"/>
  <w:autoHyphenation w:val="true"/>
  <w:footnotePr>
    <w:numFmt w:val="decimal"/>
    <w:footnote w:id="0"/>
    <w:footnote w:id="1"/>
  </w:footnotePr>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FreeSan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FreeSans"/>
      <w:color w:val="auto"/>
      <w:kern w:val="2"/>
      <w:sz w:val="24"/>
      <w:szCs w:val="24"/>
      <w:lang w:val="en-US" w:eastAsia="zh-CN" w:bidi="hi-IN"/>
    </w:rPr>
  </w:style>
  <w:style w:type="paragraph" w:styleId="Heading1">
    <w:name w:val="Heading 1"/>
    <w:basedOn w:val="Heading"/>
    <w:next w:val="TextBody"/>
    <w:qFormat/>
    <w:pPr>
      <w:numPr>
        <w:ilvl w:val="0"/>
        <w:numId w:val="0"/>
      </w:numPr>
      <w:spacing w:before="240" w:after="120"/>
      <w:outlineLvl w:val="0"/>
    </w:pPr>
    <w:rPr>
      <w:rFonts w:ascii="Liberation Serif" w:hAnsi="Liberation Serif" w:eastAsia="Cantarell" w:cs="Liberation Serif"/>
      <w:b/>
      <w:bCs/>
      <w:sz w:val="48"/>
      <w:szCs w:val="48"/>
    </w:rPr>
  </w:style>
  <w:style w:type="character" w:styleId="InternetLink">
    <w:name w:val="Hyperlink"/>
    <w:rPr>
      <w:color w:val="000080"/>
      <w:u w:val="single"/>
    </w:rPr>
  </w:style>
  <w:style w:type="character" w:styleId="FootnoteCharacters">
    <w:name w:val="Footnote Characters"/>
    <w:qFormat/>
    <w:rPr/>
  </w:style>
  <w:style w:type="character" w:styleId="FootnoteAnchor">
    <w:name w:val="Footnote Anchor"/>
    <w:rPr>
      <w:vertAlign w:val="superscript"/>
    </w:rPr>
  </w:style>
  <w:style w:type="character" w:styleId="DefaultParagraphFont">
    <w:name w:val="Default Paragraph Font"/>
    <w:qFormat/>
    <w:rPr/>
  </w:style>
  <w:style w:type="character" w:styleId="WW8Num5z0">
    <w:name w:val="WW8Num5z0"/>
    <w:qFormat/>
    <w:rPr>
      <w:rFonts w:ascii="Calibri" w:hAnsi="Calibri" w:eastAsia="Calibri" w:cs="Arial"/>
    </w:rPr>
  </w:style>
  <w:style w:type="character" w:styleId="WW8Num5z1">
    <w:name w:val="WW8Num5z1"/>
    <w:qFormat/>
    <w:rPr>
      <w:b/>
      <w:bCs/>
    </w:rPr>
  </w:style>
  <w:style w:type="character" w:styleId="EndnoteAnchor">
    <w:name w:val="Endnote Anchor"/>
    <w:rPr>
      <w:vertAlign w:val="superscript"/>
    </w:rPr>
  </w:style>
  <w:style w:type="character" w:styleId="EndnoteCharacters">
    <w:name w:val="Endnote Characters"/>
    <w:qFormat/>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Quotations">
    <w:name w:val="Quotations"/>
    <w:basedOn w:val="Normal"/>
    <w:qFormat/>
    <w:pPr>
      <w:spacing w:before="0" w:after="283"/>
      <w:ind w:left="567" w:right="567" w:hanging="0"/>
    </w:pPr>
    <w:rPr/>
  </w:style>
  <w:style w:type="paragraph" w:styleId="Footnote">
    <w:name w:val="Footnote Text"/>
    <w:basedOn w:val="Normal"/>
    <w:pPr>
      <w:suppressLineNumbers/>
      <w:ind w:left="340" w:right="0" w:hanging="340"/>
    </w:pPr>
    <w:rPr>
      <w:sz w:val="20"/>
      <w:szCs w:val="20"/>
    </w:rPr>
  </w:style>
  <w:style w:type="paragraph" w:styleId="Academic">
    <w:name w:val="Academic"/>
    <w:basedOn w:val="Normal"/>
    <w:qFormat/>
    <w:pPr>
      <w:bidi w:val="1"/>
      <w:spacing w:lineRule="auto" w:line="360" w:before="0" w:after="115"/>
      <w:ind w:left="0" w:right="0" w:firstLine="346"/>
      <w:contextualSpacing/>
      <w:jc w:val="both"/>
    </w:pPr>
    <w:rPr>
      <w:rFonts w:ascii="Times New Roman" w:hAnsi="Times New Roman" w:cs="David Libre"/>
      <w:b/>
      <w:bCs/>
    </w:rPr>
  </w:style>
  <w:style w:type="paragraph" w:styleId="Style13">
    <w:name w:val="אקדמי"/>
    <w:basedOn w:val="Normal"/>
    <w:autoRedefine/>
    <w:qFormat/>
    <w:pPr>
      <w:bidi w:val="0"/>
      <w:spacing w:lineRule="auto" w:line="360" w:before="0" w:after="0"/>
      <w:ind w:left="0" w:right="0" w:firstLine="58"/>
      <w:contextualSpacing/>
      <w:jc w:val="center"/>
    </w:pPr>
    <w:rPr>
      <w:rFonts w:ascii="Times New Roman" w:hAnsi="Times New Roman" w:cs="David Libre"/>
      <w:b/>
      <w:bCs/>
      <w:i w:val="false"/>
      <w:iCs w:val="false"/>
      <w:sz w:val="24"/>
      <w:szCs w:val="24"/>
      <w:u w:val="single"/>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LibreOffice/7.3.7.2$Linux_X86_64 LibreOffice_project/30$Build-2</Application>
  <AppVersion>15.0000</AppVersion>
  <Pages>3</Pages>
  <Words>967</Words>
  <Characters>4789</Characters>
  <CharactersWithSpaces>5763</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2023-06-30T12:29:31Z</dcterms:created>
  <dc:creator/>
  <dc:description/>
  <dc:language>en-US</dc:language>
  <cp:lastModifiedBy/>
  <dcterms:modified xsi:type="dcterms:W3CDTF">2023-06-30T13:02:33Z</dcterms:modified>
  <cp:revision>1</cp:revision>
  <dc:subject/>
  <dc:title/>
</cp:coreProperties>
</file>