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otnotes.xml" ContentType="application/vnd.openxmlformats-officedocument.wordprocessingml.footnot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Style13"/>
        <w:bidi w:val="1"/>
        <w:spacing w:lineRule="auto" w:line="360" w:before="0" w:after="0"/>
        <w:ind w:left="0" w:right="0" w:firstLine="58"/>
        <w:contextualSpacing/>
        <w:rPr>
          <w:rFonts w:ascii="Times New Roman" w:hAnsi="Times New Roman" w:cs="David CLM"/>
          <w:b w:val="false"/>
          <w:b w:val="false"/>
          <w:bCs w:val="false"/>
          <w:sz w:val="24"/>
          <w:szCs w:val="24"/>
          <w:u w:val="none"/>
        </w:rPr>
      </w:pPr>
      <w:r>
        <w:rPr>
          <w:rFonts w:cs="David CLM"/>
          <w:b w:val="false"/>
          <w:bCs w:val="false"/>
          <w:sz w:val="24"/>
          <w:szCs w:val="24"/>
          <w:u w:val="none"/>
          <w:rtl w:val="true"/>
        </w:rPr>
        <w:t>"</w:t>
      </w:r>
      <w:r>
        <w:rPr>
          <w:rFonts w:ascii="Times New Roman" w:hAnsi="Times New Roman"/>
          <w:b w:val="false"/>
          <w:b w:val="false"/>
          <w:bCs w:val="false"/>
          <w:sz w:val="24"/>
          <w:sz w:val="24"/>
          <w:szCs w:val="24"/>
          <w:u w:val="none"/>
          <w:rtl w:val="true"/>
        </w:rPr>
        <w:t>כל אומנות וכל סוגיית מחקר</w:t>
      </w:r>
      <w:r>
        <w:rPr>
          <w:rFonts w:cs="David CLM"/>
          <w:b w:val="false"/>
          <w:bCs w:val="false"/>
          <w:sz w:val="24"/>
          <w:szCs w:val="24"/>
          <w:u w:val="none"/>
          <w:rtl w:val="true"/>
        </w:rPr>
        <w:t xml:space="preserve">, </w:t>
      </w:r>
      <w:r>
        <w:rPr>
          <w:rFonts w:ascii="Times New Roman" w:hAnsi="Times New Roman"/>
          <w:b w:val="false"/>
          <w:b w:val="false"/>
          <w:bCs w:val="false"/>
          <w:sz w:val="24"/>
          <w:sz w:val="24"/>
          <w:szCs w:val="24"/>
          <w:u w:val="none"/>
          <w:rtl w:val="true"/>
        </w:rPr>
        <w:t>וכן כל עשייה ועיסוק</w:t>
      </w:r>
      <w:r>
        <w:rPr>
          <w:rFonts w:cs="David CLM"/>
          <w:b w:val="false"/>
          <w:bCs w:val="false"/>
          <w:sz w:val="24"/>
          <w:szCs w:val="24"/>
          <w:u w:val="none"/>
          <w:rtl w:val="true"/>
        </w:rPr>
        <w:t xml:space="preserve">, </w:t>
      </w:r>
      <w:r>
        <w:rPr>
          <w:rFonts w:ascii="Times New Roman" w:hAnsi="Times New Roman"/>
          <w:b w:val="false"/>
          <w:b w:val="false"/>
          <w:bCs w:val="false"/>
          <w:sz w:val="24"/>
          <w:sz w:val="24"/>
          <w:szCs w:val="24"/>
          <w:u w:val="none"/>
          <w:rtl w:val="true"/>
        </w:rPr>
        <w:t>חזקה עליהם שהם שואפים למה שהוא טוב</w:t>
      </w:r>
      <w:r>
        <w:rPr>
          <w:rFonts w:cs="David CLM"/>
          <w:b w:val="false"/>
          <w:bCs w:val="false"/>
          <w:sz w:val="24"/>
          <w:szCs w:val="24"/>
          <w:u w:val="none"/>
          <w:rtl w:val="true"/>
        </w:rPr>
        <w:t xml:space="preserve">; </w:t>
      </w:r>
      <w:r>
        <w:rPr>
          <w:rFonts w:ascii="Times New Roman" w:hAnsi="Times New Roman"/>
          <w:b w:val="false"/>
          <w:b w:val="false"/>
          <w:bCs w:val="false"/>
          <w:sz w:val="24"/>
          <w:sz w:val="24"/>
          <w:szCs w:val="24"/>
          <w:u w:val="none"/>
          <w:rtl w:val="true"/>
        </w:rPr>
        <w:t>בצדק הגדירו</w:t>
      </w:r>
      <w:r>
        <w:rPr>
          <w:rFonts w:cs="David CLM"/>
          <w:b w:val="false"/>
          <w:bCs w:val="false"/>
          <w:sz w:val="24"/>
          <w:szCs w:val="24"/>
          <w:u w:val="none"/>
          <w:rtl w:val="true"/>
        </w:rPr>
        <w:t xml:space="preserve">, </w:t>
      </w:r>
      <w:r>
        <w:rPr>
          <w:rFonts w:ascii="Times New Roman" w:hAnsi="Times New Roman"/>
          <w:b w:val="false"/>
          <w:b w:val="false"/>
          <w:bCs w:val="false"/>
          <w:sz w:val="24"/>
          <w:sz w:val="24"/>
          <w:szCs w:val="24"/>
          <w:u w:val="none"/>
          <w:rtl w:val="true"/>
        </w:rPr>
        <w:t>אפוא</w:t>
      </w:r>
      <w:r>
        <w:rPr>
          <w:rFonts w:cs="David CLM"/>
          <w:b w:val="false"/>
          <w:bCs w:val="false"/>
          <w:sz w:val="24"/>
          <w:szCs w:val="24"/>
          <w:u w:val="none"/>
          <w:rtl w:val="true"/>
        </w:rPr>
        <w:t xml:space="preserve">, </w:t>
      </w:r>
      <w:r>
        <w:rPr>
          <w:rFonts w:ascii="Times New Roman" w:hAnsi="Times New Roman"/>
          <w:b w:val="false"/>
          <w:b w:val="false"/>
          <w:bCs w:val="false"/>
          <w:sz w:val="24"/>
          <w:sz w:val="24"/>
          <w:szCs w:val="24"/>
          <w:u w:val="none"/>
          <w:rtl w:val="true"/>
        </w:rPr>
        <w:t>את הטוב כאותו העניין שאליו שואף הכל</w:t>
      </w:r>
      <w:r>
        <w:rPr>
          <w:rFonts w:cs="David CLM"/>
          <w:b w:val="false"/>
          <w:bCs w:val="false"/>
          <w:sz w:val="24"/>
          <w:szCs w:val="24"/>
          <w:u w:val="none"/>
          <w:rtl w:val="true"/>
        </w:rPr>
        <w:t>"</w:t>
      </w:r>
      <w:r>
        <w:rPr>
          <w:rStyle w:val="FootnoteAnchor"/>
          <w:rFonts w:cs="David CLM"/>
          <w:b w:val="false"/>
          <w:bCs w:val="false"/>
          <w:sz w:val="24"/>
          <w:szCs w:val="24"/>
          <w:u w:val="none"/>
          <w:rtl w:val="true"/>
        </w:rPr>
        <w:footnoteReference w:id="2"/>
      </w:r>
      <w:r>
        <w:rPr>
          <w:rFonts w:cs="David CLM"/>
          <w:b w:val="false"/>
          <w:bCs w:val="false"/>
          <w:sz w:val="24"/>
          <w:szCs w:val="24"/>
          <w:u w:val="none"/>
          <w:rtl w:val="true"/>
        </w:rPr>
        <w:t xml:space="preserve">, </w:t>
      </w:r>
      <w:r>
        <w:rPr>
          <w:rFonts w:ascii="Times New Roman" w:hAnsi="Times New Roman"/>
          <w:b w:val="false"/>
          <w:b w:val="false"/>
          <w:bCs w:val="false"/>
          <w:sz w:val="24"/>
          <w:sz w:val="24"/>
          <w:szCs w:val="24"/>
          <w:u w:val="none"/>
          <w:rtl w:val="true"/>
        </w:rPr>
        <w:t>קובע אריסטו בפתיחת האתיקה הניקומאכית</w:t>
      </w:r>
      <w:r>
        <w:rPr>
          <w:rFonts w:cs="David CLM"/>
          <w:b w:val="false"/>
          <w:bCs w:val="false"/>
          <w:sz w:val="24"/>
          <w:szCs w:val="24"/>
          <w:u w:val="none"/>
          <w:rtl w:val="true"/>
        </w:rPr>
        <w:t xml:space="preserve">.  </w:t>
      </w:r>
      <w:r>
        <w:rPr>
          <w:rFonts w:ascii="Times New Roman" w:hAnsi="Times New Roman"/>
          <w:b w:val="false"/>
          <w:b w:val="false"/>
          <w:bCs w:val="false"/>
          <w:sz w:val="24"/>
          <w:sz w:val="24"/>
          <w:szCs w:val="24"/>
          <w:u w:val="none"/>
          <w:rtl w:val="true"/>
        </w:rPr>
        <w:t>כיצד על אדם לחיות ולפעול בעיסוקיו על פי אותו הטוב</w:t>
      </w:r>
      <w:r>
        <w:rPr>
          <w:rFonts w:cs="David CLM"/>
          <w:b w:val="false"/>
          <w:bCs w:val="false"/>
          <w:sz w:val="24"/>
          <w:szCs w:val="24"/>
          <w:u w:val="none"/>
          <w:rtl w:val="true"/>
        </w:rPr>
        <w:t xml:space="preserve">? </w:t>
      </w:r>
      <w:r>
        <w:rPr>
          <w:rFonts w:ascii="Times New Roman" w:hAnsi="Times New Roman"/>
          <w:b w:val="false"/>
          <w:b w:val="false"/>
          <w:bCs w:val="false"/>
          <w:sz w:val="24"/>
          <w:sz w:val="24"/>
          <w:szCs w:val="24"/>
          <w:u w:val="none"/>
          <w:rtl w:val="true"/>
        </w:rPr>
        <w:t>מיהו האדם הטוב</w:t>
      </w:r>
      <w:r>
        <w:rPr>
          <w:rFonts w:cs="David CLM"/>
          <w:b w:val="false"/>
          <w:bCs w:val="false"/>
          <w:sz w:val="24"/>
          <w:szCs w:val="24"/>
          <w:u w:val="none"/>
          <w:rtl w:val="true"/>
        </w:rPr>
        <w:t xml:space="preserve">? </w:t>
      </w:r>
      <w:r>
        <w:rPr>
          <w:rFonts w:ascii="Times New Roman" w:hAnsi="Times New Roman"/>
          <w:b w:val="false"/>
          <w:b w:val="false"/>
          <w:bCs w:val="false"/>
          <w:sz w:val="24"/>
          <w:sz w:val="24"/>
          <w:szCs w:val="24"/>
          <w:u w:val="none"/>
          <w:rtl w:val="true"/>
        </w:rPr>
        <w:t xml:space="preserve">זהו מושא </w:t>
      </w:r>
      <w:r>
        <w:rPr>
          <w:rFonts w:ascii="Times New Roman" w:hAnsi="Times New Roman"/>
          <w:b w:val="false"/>
          <w:b w:val="false"/>
          <w:bCs w:val="false"/>
          <w:sz w:val="24"/>
          <w:sz w:val="24"/>
          <w:szCs w:val="24"/>
          <w:u w:val="none"/>
          <w:rtl w:val="true"/>
        </w:rPr>
        <w:t>מדע האופי האריסטותלי</w:t>
      </w:r>
      <w:r>
        <w:rPr>
          <w:rFonts w:cs="David CLM"/>
          <w:b w:val="false"/>
          <w:bCs w:val="false"/>
          <w:sz w:val="24"/>
          <w:szCs w:val="24"/>
          <w:u w:val="none"/>
          <w:rtl w:val="true"/>
        </w:rPr>
        <w:t xml:space="preserve">, </w:t>
      </w:r>
      <w:r>
        <w:rPr>
          <w:rFonts w:ascii="Times New Roman" w:hAnsi="Times New Roman"/>
          <w:b w:val="false"/>
          <w:b w:val="false"/>
          <w:bCs w:val="false"/>
          <w:sz w:val="24"/>
          <w:sz w:val="24"/>
          <w:szCs w:val="24"/>
          <w:u w:val="none"/>
          <w:rtl w:val="true"/>
        </w:rPr>
        <w:t>כפי שמצהיר אריסטו במפורש</w:t>
      </w:r>
      <w:r>
        <w:rPr>
          <w:rStyle w:val="FootnoteAnchor"/>
          <w:rFonts w:ascii="Times New Roman" w:hAnsi="Times New Roman"/>
          <w:b w:val="false"/>
          <w:b w:val="false"/>
          <w:bCs w:val="false"/>
          <w:sz w:val="24"/>
          <w:sz w:val="24"/>
          <w:szCs w:val="24"/>
          <w:u w:val="none"/>
          <w:rtl w:val="true"/>
        </w:rPr>
        <w:footnoteReference w:id="3"/>
      </w:r>
      <w:r>
        <w:rPr>
          <w:rFonts w:cs="David CLM"/>
          <w:b w:val="false"/>
          <w:bCs w:val="false"/>
          <w:sz w:val="24"/>
          <w:szCs w:val="24"/>
          <w:u w:val="none"/>
          <w:rtl w:val="true"/>
        </w:rPr>
        <w:t xml:space="preserve">. </w:t>
      </w:r>
      <w:r>
        <w:rPr>
          <w:rFonts w:ascii="Times New Roman" w:hAnsi="Times New Roman"/>
          <w:b w:val="false"/>
          <w:b w:val="false"/>
          <w:bCs w:val="false"/>
          <w:sz w:val="24"/>
          <w:sz w:val="24"/>
          <w:szCs w:val="24"/>
          <w:u w:val="none"/>
          <w:rtl w:val="true"/>
        </w:rPr>
        <w:t>על מנת להשיב</w:t>
      </w:r>
      <w:r>
        <w:rPr>
          <w:rFonts w:cs="David CLM"/>
          <w:b w:val="false"/>
          <w:bCs w:val="false"/>
          <w:sz w:val="24"/>
          <w:szCs w:val="24"/>
          <w:u w:val="none"/>
          <w:rtl w:val="true"/>
        </w:rPr>
        <w:t xml:space="preserve">, </w:t>
      </w:r>
      <w:r>
        <w:rPr>
          <w:rFonts w:ascii="Times New Roman" w:hAnsi="Times New Roman"/>
          <w:b w:val="false"/>
          <w:b w:val="false"/>
          <w:bCs w:val="false"/>
          <w:sz w:val="24"/>
          <w:sz w:val="24"/>
          <w:szCs w:val="24"/>
          <w:u w:val="none"/>
          <w:rtl w:val="true"/>
        </w:rPr>
        <w:t>אבקש לבחון את כל הגורמים בשאלה זו על פי השיטה האריסטותלית</w:t>
      </w:r>
      <w:r>
        <w:rPr>
          <w:rFonts w:cs="David CLM"/>
          <w:b w:val="false"/>
          <w:bCs w:val="false"/>
          <w:sz w:val="24"/>
          <w:szCs w:val="24"/>
          <w:u w:val="none"/>
          <w:rtl w:val="true"/>
        </w:rPr>
        <w:t xml:space="preserve">: </w:t>
      </w:r>
      <w:r>
        <w:rPr>
          <w:rFonts w:ascii="Times New Roman" w:hAnsi="Times New Roman"/>
          <w:b w:val="false"/>
          <w:b w:val="false"/>
          <w:bCs w:val="false"/>
          <w:sz w:val="24"/>
          <w:sz w:val="24"/>
          <w:szCs w:val="24"/>
          <w:u w:val="none"/>
          <w:rtl w:val="true"/>
        </w:rPr>
        <w:t>תחילה</w:t>
      </w:r>
      <w:r>
        <w:rPr>
          <w:rFonts w:cs="David CLM"/>
          <w:b w:val="false"/>
          <w:bCs w:val="false"/>
          <w:sz w:val="24"/>
          <w:szCs w:val="24"/>
          <w:u w:val="none"/>
          <w:rtl w:val="true"/>
        </w:rPr>
        <w:t xml:space="preserve">, </w:t>
      </w:r>
      <w:r>
        <w:rPr>
          <w:rFonts w:ascii="Times New Roman" w:hAnsi="Times New Roman"/>
          <w:b w:val="false"/>
          <w:b w:val="false"/>
          <w:bCs w:val="false"/>
          <w:sz w:val="24"/>
          <w:sz w:val="24"/>
          <w:szCs w:val="24"/>
          <w:u w:val="none"/>
          <w:rtl w:val="true"/>
        </w:rPr>
        <w:t>אציג את האדם כ</w:t>
      </w:r>
      <w:r>
        <w:rPr>
          <w:rFonts w:cs="David CLM"/>
          <w:b w:val="false"/>
          <w:bCs w:val="false"/>
          <w:sz w:val="24"/>
          <w:szCs w:val="24"/>
          <w:u w:val="none"/>
          <w:rtl w:val="true"/>
        </w:rPr>
        <w:t>'</w:t>
      </w:r>
      <w:r>
        <w:rPr>
          <w:rFonts w:ascii="Times New Roman" w:hAnsi="Times New Roman"/>
          <w:b w:val="false"/>
          <w:b w:val="false"/>
          <w:bCs w:val="false"/>
          <w:sz w:val="24"/>
          <w:sz w:val="24"/>
          <w:szCs w:val="24"/>
          <w:u w:val="none"/>
          <w:rtl w:val="true"/>
        </w:rPr>
        <w:t>יש טבעי</w:t>
      </w:r>
      <w:r>
        <w:rPr>
          <w:rFonts w:cs="David CLM"/>
          <w:b w:val="false"/>
          <w:bCs w:val="false"/>
          <w:sz w:val="24"/>
          <w:szCs w:val="24"/>
          <w:u w:val="none"/>
          <w:rtl w:val="true"/>
        </w:rPr>
        <w:t xml:space="preserve">', </w:t>
      </w:r>
      <w:r>
        <w:rPr>
          <w:rFonts w:ascii="Times New Roman" w:hAnsi="Times New Roman"/>
          <w:b w:val="false"/>
          <w:b w:val="false"/>
          <w:bCs w:val="false"/>
          <w:sz w:val="24"/>
          <w:sz w:val="24"/>
          <w:szCs w:val="24"/>
          <w:u w:val="none"/>
          <w:rtl w:val="true"/>
        </w:rPr>
        <w:t>המונע מכוח עצמו לעבר מימושו הטוב ביותר</w:t>
      </w:r>
      <w:r>
        <w:rPr>
          <w:rFonts w:cs="David CLM"/>
          <w:b w:val="false"/>
          <w:bCs w:val="false"/>
          <w:sz w:val="24"/>
          <w:szCs w:val="24"/>
          <w:u w:val="none"/>
          <w:rtl w:val="true"/>
        </w:rPr>
        <w:t xml:space="preserve">; </w:t>
      </w:r>
      <w:r>
        <w:rPr>
          <w:rFonts w:ascii="Times New Roman" w:hAnsi="Times New Roman"/>
          <w:b w:val="false"/>
          <w:b w:val="false"/>
          <w:bCs w:val="false"/>
          <w:sz w:val="24"/>
          <w:sz w:val="24"/>
          <w:szCs w:val="24"/>
          <w:u w:val="none"/>
          <w:rtl w:val="true"/>
        </w:rPr>
        <w:t>בהמשך</w:t>
      </w:r>
      <w:r>
        <w:rPr>
          <w:rFonts w:cs="David CLM"/>
          <w:b w:val="false"/>
          <w:bCs w:val="false"/>
          <w:sz w:val="24"/>
          <w:szCs w:val="24"/>
          <w:u w:val="none"/>
          <w:rtl w:val="true"/>
        </w:rPr>
        <w:t xml:space="preserve">, </w:t>
      </w:r>
      <w:r>
        <w:rPr>
          <w:rFonts w:ascii="Times New Roman" w:hAnsi="Times New Roman"/>
          <w:b w:val="false"/>
          <w:b w:val="false"/>
          <w:bCs w:val="false"/>
          <w:sz w:val="24"/>
          <w:sz w:val="24"/>
          <w:szCs w:val="24"/>
          <w:u w:val="none"/>
          <w:rtl w:val="true"/>
        </w:rPr>
        <w:t>אעמוד על טיבו של האושר כתכלית אליה שואף האדם מטבעו</w:t>
      </w:r>
      <w:r>
        <w:rPr>
          <w:rFonts w:cs="David CLM"/>
          <w:b w:val="false"/>
          <w:bCs w:val="false"/>
          <w:sz w:val="24"/>
          <w:szCs w:val="24"/>
          <w:u w:val="none"/>
          <w:rtl w:val="true"/>
        </w:rPr>
        <w:t xml:space="preserve">, </w:t>
      </w:r>
      <w:r>
        <w:rPr>
          <w:rFonts w:ascii="Times New Roman" w:hAnsi="Times New Roman"/>
          <w:b w:val="false"/>
          <w:b w:val="false"/>
          <w:bCs w:val="false"/>
          <w:sz w:val="24"/>
          <w:sz w:val="24"/>
          <w:szCs w:val="24"/>
          <w:u w:val="none"/>
          <w:rtl w:val="true"/>
        </w:rPr>
        <w:t xml:space="preserve">ואעמוד על מה היא הסגולה הטובה </w:t>
      </w:r>
      <w:r>
        <w:rPr>
          <w:rFonts w:cs="David CLM"/>
          <w:b w:val="false"/>
          <w:bCs w:val="false"/>
          <w:sz w:val="24"/>
          <w:szCs w:val="24"/>
          <w:u w:val="none"/>
          <w:rtl w:val="true"/>
        </w:rPr>
        <w:t xml:space="preserve">- </w:t>
      </w:r>
      <w:r>
        <w:rPr>
          <w:rFonts w:ascii="Times New Roman" w:hAnsi="Times New Roman"/>
          <w:b w:val="false"/>
          <w:b w:val="false"/>
          <w:bCs w:val="false"/>
          <w:sz w:val="24"/>
          <w:sz w:val="24"/>
          <w:szCs w:val="24"/>
          <w:u w:val="none"/>
          <w:rtl w:val="true"/>
        </w:rPr>
        <w:t>הנדרשת למימוש החיים המאושרים</w:t>
      </w:r>
      <w:r>
        <w:rPr>
          <w:rFonts w:cs="David CLM"/>
          <w:b w:val="false"/>
          <w:bCs w:val="false"/>
          <w:sz w:val="24"/>
          <w:szCs w:val="24"/>
          <w:u w:val="none"/>
          <w:rtl w:val="true"/>
        </w:rPr>
        <w:t xml:space="preserve">; </w:t>
      </w:r>
      <w:r>
        <w:rPr>
          <w:rFonts w:ascii="Times New Roman" w:hAnsi="Times New Roman"/>
          <w:b w:val="false"/>
          <w:b w:val="false"/>
          <w:bCs w:val="false"/>
          <w:sz w:val="24"/>
          <w:sz w:val="24"/>
          <w:szCs w:val="24"/>
          <w:u w:val="none"/>
          <w:rtl w:val="true"/>
        </w:rPr>
        <w:t>ולבסוף</w:t>
      </w:r>
      <w:r>
        <w:rPr>
          <w:rFonts w:cs="David CLM"/>
          <w:b w:val="false"/>
          <w:bCs w:val="false"/>
          <w:sz w:val="24"/>
          <w:szCs w:val="24"/>
          <w:u w:val="none"/>
          <w:rtl w:val="true"/>
        </w:rPr>
        <w:t xml:space="preserve">, </w:t>
      </w:r>
      <w:r>
        <w:rPr>
          <w:rFonts w:ascii="Times New Roman" w:hAnsi="Times New Roman"/>
          <w:b w:val="false"/>
          <w:b w:val="false"/>
          <w:bCs w:val="false"/>
          <w:sz w:val="24"/>
          <w:sz w:val="24"/>
          <w:szCs w:val="24"/>
          <w:u w:val="none"/>
          <w:rtl w:val="true"/>
        </w:rPr>
        <w:t>אדגים את המצוינות האנושית הכרוכה בחיים אלו באמצעות הסגולה הטובה של אומץ הלב</w:t>
      </w:r>
      <w:r>
        <w:rPr>
          <w:rFonts w:cs="David CLM"/>
          <w:b w:val="false"/>
          <w:bCs w:val="false"/>
          <w:sz w:val="24"/>
          <w:szCs w:val="24"/>
          <w:u w:val="none"/>
          <w:rtl w:val="true"/>
        </w:rPr>
        <w:t>.</w:t>
      </w:r>
    </w:p>
    <w:p>
      <w:pPr>
        <w:pStyle w:val="Style13"/>
        <w:bidi w:val="1"/>
        <w:spacing w:lineRule="auto" w:line="360" w:before="0" w:after="0"/>
        <w:ind w:left="0" w:right="0" w:firstLine="58"/>
        <w:contextualSpacing/>
        <w:rPr>
          <w:rFonts w:ascii="Times New Roman" w:hAnsi="Times New Roman" w:cs="David CLM"/>
          <w:b w:val="false"/>
          <w:b w:val="false"/>
          <w:bCs w:val="false"/>
          <w:sz w:val="24"/>
          <w:szCs w:val="24"/>
          <w:u w:val="none"/>
        </w:rPr>
      </w:pPr>
      <w:r>
        <w:rPr>
          <w:rFonts w:cs="David CLM"/>
          <w:b w:val="false"/>
          <w:bCs w:val="false"/>
          <w:sz w:val="24"/>
          <w:szCs w:val="24"/>
          <w:u w:val="none"/>
          <w:rtl w:val="true"/>
        </w:rPr>
        <w:tab/>
      </w:r>
      <w:r>
        <w:rPr>
          <w:rFonts w:ascii="Times New Roman" w:hAnsi="Times New Roman"/>
          <w:b w:val="false"/>
          <w:b w:val="false"/>
          <w:bCs w:val="false"/>
          <w:sz w:val="24"/>
          <w:sz w:val="24"/>
          <w:szCs w:val="24"/>
          <w:u w:val="none"/>
          <w:rtl w:val="true"/>
        </w:rPr>
        <w:t>בפתיחת הפיזיקה</w:t>
      </w:r>
      <w:r>
        <w:rPr>
          <w:rFonts w:cs="David CLM"/>
          <w:b w:val="false"/>
          <w:bCs w:val="false"/>
          <w:sz w:val="24"/>
          <w:szCs w:val="24"/>
          <w:u w:val="none"/>
          <w:rtl w:val="true"/>
        </w:rPr>
        <w:t xml:space="preserve">, </w:t>
      </w:r>
      <w:r>
        <w:rPr>
          <w:rFonts w:ascii="Times New Roman" w:hAnsi="Times New Roman"/>
          <w:b w:val="false"/>
          <w:b w:val="false"/>
          <w:bCs w:val="false"/>
          <w:sz w:val="24"/>
          <w:sz w:val="24"/>
          <w:szCs w:val="24"/>
          <w:u w:val="none"/>
          <w:rtl w:val="true"/>
        </w:rPr>
        <w:t>מגדיר אריסטו מה הוא יש טבעי – ההווים המונעים מכוח עצמם בדחף פנימי</w:t>
      </w:r>
      <w:r>
        <w:rPr>
          <w:rFonts w:cs="David CLM"/>
          <w:b w:val="false"/>
          <w:bCs w:val="false"/>
          <w:sz w:val="24"/>
          <w:szCs w:val="24"/>
          <w:u w:val="none"/>
          <w:rtl w:val="true"/>
        </w:rPr>
        <w:t xml:space="preserve">, </w:t>
      </w:r>
      <w:r>
        <w:rPr>
          <w:rFonts w:ascii="Times New Roman" w:hAnsi="Times New Roman"/>
          <w:b w:val="false"/>
          <w:b w:val="false"/>
          <w:bCs w:val="false"/>
          <w:sz w:val="24"/>
          <w:sz w:val="24"/>
          <w:szCs w:val="24"/>
          <w:u w:val="none"/>
          <w:rtl w:val="true"/>
        </w:rPr>
        <w:t>דוגמת בעלי חיים וצמחים</w:t>
      </w:r>
      <w:r>
        <w:rPr>
          <w:rStyle w:val="FootnoteAnchor"/>
          <w:rFonts w:ascii="Times New Roman" w:hAnsi="Times New Roman"/>
          <w:b w:val="false"/>
          <w:b w:val="false"/>
          <w:bCs w:val="false"/>
          <w:sz w:val="24"/>
          <w:sz w:val="24"/>
          <w:szCs w:val="24"/>
          <w:u w:val="none"/>
          <w:rtl w:val="true"/>
        </w:rPr>
        <w:footnoteReference w:id="4"/>
      </w:r>
      <w:r>
        <w:rPr>
          <w:rFonts w:cs="David CLM"/>
          <w:b w:val="false"/>
          <w:bCs w:val="false"/>
          <w:sz w:val="24"/>
          <w:szCs w:val="24"/>
          <w:u w:val="none"/>
          <w:rtl w:val="true"/>
        </w:rPr>
        <w:t xml:space="preserve">. </w:t>
      </w:r>
      <w:r>
        <w:rPr>
          <w:rFonts w:ascii="Times New Roman" w:hAnsi="Times New Roman"/>
          <w:b w:val="false"/>
          <w:b w:val="false"/>
          <w:bCs w:val="false"/>
          <w:sz w:val="24"/>
          <w:sz w:val="24"/>
          <w:szCs w:val="24"/>
          <w:u w:val="none"/>
          <w:rtl w:val="true"/>
        </w:rPr>
        <w:t>את אותו הדחף הטבעי טובע אריסטו כהיות</w:t>
      </w:r>
      <w:r>
        <w:rPr>
          <w:rFonts w:cs="David CLM"/>
          <w:b w:val="false"/>
          <w:bCs w:val="false"/>
          <w:sz w:val="24"/>
          <w:szCs w:val="24"/>
          <w:u w:val="none"/>
          <w:rtl w:val="true"/>
        </w:rPr>
        <w:t>-</w:t>
      </w:r>
      <w:r>
        <w:rPr>
          <w:rFonts w:ascii="Times New Roman" w:hAnsi="Times New Roman"/>
          <w:b w:val="false"/>
          <w:b w:val="false"/>
          <w:bCs w:val="false"/>
          <w:sz w:val="24"/>
          <w:sz w:val="24"/>
          <w:szCs w:val="24"/>
          <w:u w:val="none"/>
          <w:rtl w:val="true"/>
        </w:rPr>
        <w:t xml:space="preserve">בפעולה </w:t>
      </w:r>
      <w:r>
        <w:rPr>
          <w:rFonts w:cs="David CLM"/>
          <w:b w:val="false"/>
          <w:bCs w:val="false"/>
          <w:sz w:val="24"/>
          <w:szCs w:val="24"/>
          <w:u w:val="none"/>
          <w:rtl w:val="true"/>
        </w:rPr>
        <w:t>(</w:t>
      </w:r>
      <w:r>
        <w:rPr>
          <w:rFonts w:cs="David CLM"/>
          <w:b w:val="false"/>
          <w:bCs w:val="false"/>
          <w:sz w:val="24"/>
          <w:szCs w:val="24"/>
          <w:u w:val="none"/>
        </w:rPr>
        <w:t>Energia</w:t>
      </w:r>
      <w:r>
        <w:rPr>
          <w:rFonts w:cs="David CLM"/>
          <w:b w:val="false"/>
          <w:bCs w:val="false"/>
          <w:sz w:val="24"/>
          <w:szCs w:val="24"/>
          <w:u w:val="none"/>
          <w:rtl w:val="true"/>
        </w:rPr>
        <w:t xml:space="preserve">) – </w:t>
      </w:r>
      <w:r>
        <w:rPr>
          <w:rFonts w:ascii="Times New Roman" w:hAnsi="Times New Roman"/>
          <w:b w:val="false"/>
          <w:b w:val="false"/>
          <w:bCs w:val="false"/>
          <w:sz w:val="24"/>
          <w:sz w:val="24"/>
          <w:szCs w:val="24"/>
          <w:u w:val="none"/>
          <w:rtl w:val="true"/>
        </w:rPr>
        <w:t xml:space="preserve">מימוש צורתו של אותו הדבר </w:t>
      </w:r>
      <w:r>
        <w:rPr>
          <w:rFonts w:cs="David CLM"/>
          <w:b w:val="false"/>
          <w:bCs w:val="false"/>
          <w:sz w:val="24"/>
          <w:szCs w:val="24"/>
          <w:u w:val="none"/>
          <w:rtl w:val="true"/>
        </w:rPr>
        <w:t>(</w:t>
      </w:r>
      <w:r>
        <w:rPr>
          <w:rFonts w:ascii="Times New Roman" w:hAnsi="Times New Roman"/>
          <w:b w:val="false"/>
          <w:b w:val="false"/>
          <w:bCs w:val="false"/>
          <w:sz w:val="24"/>
          <w:sz w:val="24"/>
          <w:szCs w:val="24"/>
          <w:u w:val="none"/>
          <w:rtl w:val="true"/>
        </w:rPr>
        <w:t>צורת העין</w:t>
      </w:r>
      <w:r>
        <w:rPr>
          <w:rFonts w:cs="David CLM"/>
          <w:b w:val="false"/>
          <w:bCs w:val="false"/>
          <w:sz w:val="24"/>
          <w:szCs w:val="24"/>
          <w:u w:val="none"/>
          <w:rtl w:val="true"/>
        </w:rPr>
        <w:t xml:space="preserve">, </w:t>
      </w:r>
      <w:r>
        <w:rPr>
          <w:rFonts w:ascii="Times New Roman" w:hAnsi="Times New Roman"/>
          <w:b w:val="false"/>
          <w:b w:val="false"/>
          <w:bCs w:val="false"/>
          <w:sz w:val="24"/>
          <w:sz w:val="24"/>
          <w:szCs w:val="24"/>
          <w:u w:val="none"/>
          <w:rtl w:val="true"/>
        </w:rPr>
        <w:t>למשל</w:t>
      </w:r>
      <w:r>
        <w:rPr>
          <w:rFonts w:cs="David CLM"/>
          <w:b w:val="false"/>
          <w:bCs w:val="false"/>
          <w:sz w:val="24"/>
          <w:szCs w:val="24"/>
          <w:u w:val="none"/>
          <w:rtl w:val="true"/>
        </w:rPr>
        <w:t xml:space="preserve">, </w:t>
      </w:r>
      <w:r>
        <w:rPr>
          <w:rFonts w:ascii="Times New Roman" w:hAnsi="Times New Roman"/>
          <w:b w:val="false"/>
          <w:b w:val="false"/>
          <w:bCs w:val="false"/>
          <w:sz w:val="24"/>
          <w:sz w:val="24"/>
          <w:szCs w:val="24"/>
          <w:u w:val="none"/>
          <w:rtl w:val="true"/>
        </w:rPr>
        <w:t>היא לראות</w:t>
      </w:r>
      <w:r>
        <w:rPr>
          <w:rFonts w:cs="David CLM"/>
          <w:b w:val="false"/>
          <w:bCs w:val="false"/>
          <w:sz w:val="24"/>
          <w:szCs w:val="24"/>
          <w:u w:val="none"/>
          <w:rtl w:val="true"/>
        </w:rPr>
        <w:t xml:space="preserve">; </w:t>
      </w:r>
      <w:r>
        <w:rPr>
          <w:rFonts w:ascii="Times New Roman" w:hAnsi="Times New Roman"/>
          <w:b w:val="false"/>
          <w:b w:val="false"/>
          <w:bCs w:val="false"/>
          <w:sz w:val="24"/>
          <w:sz w:val="24"/>
          <w:szCs w:val="24"/>
          <w:u w:val="none"/>
          <w:rtl w:val="true"/>
        </w:rPr>
        <w:t>העין הרואה</w:t>
      </w:r>
      <w:r>
        <w:rPr>
          <w:rFonts w:cs="David CLM"/>
          <w:b w:val="false"/>
          <w:bCs w:val="false"/>
          <w:sz w:val="24"/>
          <w:szCs w:val="24"/>
          <w:u w:val="none"/>
          <w:rtl w:val="true"/>
        </w:rPr>
        <w:t xml:space="preserve">, </w:t>
      </w:r>
      <w:r>
        <w:rPr>
          <w:rFonts w:ascii="Times New Roman" w:hAnsi="Times New Roman"/>
          <w:b w:val="false"/>
          <w:b w:val="false"/>
          <w:bCs w:val="false"/>
          <w:sz w:val="24"/>
          <w:sz w:val="24"/>
          <w:szCs w:val="24"/>
          <w:u w:val="none"/>
          <w:rtl w:val="true"/>
        </w:rPr>
        <w:t>בכל עת שהיא רואה</w:t>
      </w:r>
      <w:r>
        <w:rPr>
          <w:rFonts w:cs="David CLM"/>
          <w:b w:val="false"/>
          <w:bCs w:val="false"/>
          <w:sz w:val="24"/>
          <w:szCs w:val="24"/>
          <w:u w:val="none"/>
          <w:rtl w:val="true"/>
        </w:rPr>
        <w:t xml:space="preserve">, </w:t>
      </w:r>
      <w:r>
        <w:rPr>
          <w:rFonts w:ascii="Times New Roman" w:hAnsi="Times New Roman"/>
          <w:b w:val="false"/>
          <w:b w:val="false"/>
          <w:bCs w:val="false"/>
          <w:sz w:val="24"/>
          <w:sz w:val="24"/>
          <w:szCs w:val="24"/>
          <w:u w:val="none"/>
          <w:rtl w:val="true"/>
        </w:rPr>
        <w:t>ממשת את צורתה</w:t>
      </w:r>
      <w:r>
        <w:rPr>
          <w:rFonts w:cs="David CLM"/>
          <w:b w:val="false"/>
          <w:bCs w:val="false"/>
          <w:sz w:val="24"/>
          <w:szCs w:val="24"/>
          <w:u w:val="none"/>
          <w:rtl w:val="true"/>
        </w:rPr>
        <w:t>)</w:t>
      </w:r>
      <w:r>
        <w:rPr>
          <w:rStyle w:val="FootnoteAnchor"/>
          <w:rFonts w:cs="David CLM"/>
          <w:b w:val="false"/>
          <w:bCs w:val="false"/>
          <w:sz w:val="24"/>
          <w:szCs w:val="24"/>
          <w:u w:val="none"/>
          <w:rtl w:val="true"/>
        </w:rPr>
        <w:footnoteReference w:id="5"/>
      </w:r>
      <w:r>
        <w:rPr>
          <w:rFonts w:cs="David CLM"/>
          <w:b w:val="false"/>
          <w:bCs w:val="false"/>
          <w:sz w:val="24"/>
          <w:szCs w:val="24"/>
          <w:u w:val="none"/>
          <w:rtl w:val="true"/>
        </w:rPr>
        <w:t xml:space="preserve">. </w:t>
      </w:r>
      <w:r>
        <w:rPr>
          <w:rFonts w:ascii="Times New Roman" w:hAnsi="Times New Roman"/>
          <w:b w:val="false"/>
          <w:b w:val="false"/>
          <w:bCs w:val="false"/>
          <w:sz w:val="24"/>
          <w:sz w:val="24"/>
          <w:szCs w:val="24"/>
          <w:u w:val="none"/>
          <w:rtl w:val="true"/>
        </w:rPr>
        <w:t xml:space="preserve">מימוש הצורה באופן המושלם הוא התכלית </w:t>
      </w:r>
      <w:r>
        <w:rPr>
          <w:rFonts w:cs="David CLM"/>
          <w:b w:val="false"/>
          <w:bCs w:val="false"/>
          <w:sz w:val="24"/>
          <w:szCs w:val="24"/>
          <w:u w:val="none"/>
          <w:rtl w:val="true"/>
        </w:rPr>
        <w:t>(</w:t>
      </w:r>
      <w:r>
        <w:rPr>
          <w:rFonts w:cs="David CLM"/>
          <w:b w:val="false"/>
          <w:bCs w:val="false"/>
          <w:sz w:val="24"/>
          <w:szCs w:val="24"/>
          <w:u w:val="none"/>
        </w:rPr>
        <w:t>Telos</w:t>
      </w:r>
      <w:r>
        <w:rPr>
          <w:rFonts w:cs="David CLM"/>
          <w:b w:val="false"/>
          <w:bCs w:val="false"/>
          <w:sz w:val="24"/>
          <w:szCs w:val="24"/>
          <w:u w:val="none"/>
          <w:rtl w:val="true"/>
        </w:rPr>
        <w:t xml:space="preserve">) </w:t>
      </w:r>
      <w:r>
        <w:rPr>
          <w:rFonts w:ascii="Times New Roman" w:hAnsi="Times New Roman"/>
          <w:b w:val="false"/>
          <w:b w:val="false"/>
          <w:bCs w:val="false"/>
          <w:sz w:val="24"/>
          <w:sz w:val="24"/>
          <w:szCs w:val="24"/>
          <w:u w:val="none"/>
          <w:rtl w:val="true"/>
        </w:rPr>
        <w:t>של היישים הטבעיים</w:t>
      </w:r>
      <w:r>
        <w:rPr>
          <w:rFonts w:cs="David CLM"/>
          <w:b w:val="false"/>
          <w:bCs w:val="false"/>
          <w:sz w:val="24"/>
          <w:szCs w:val="24"/>
          <w:u w:val="none"/>
          <w:rtl w:val="true"/>
        </w:rPr>
        <w:t xml:space="preserve">, </w:t>
      </w:r>
      <w:r>
        <w:rPr>
          <w:rFonts w:ascii="Times New Roman" w:hAnsi="Times New Roman"/>
          <w:b w:val="false"/>
          <w:b w:val="false"/>
          <w:bCs w:val="false"/>
          <w:sz w:val="24"/>
          <w:sz w:val="24"/>
          <w:szCs w:val="24"/>
          <w:u w:val="none"/>
          <w:rtl w:val="true"/>
        </w:rPr>
        <w:t>ודחפם חותר למימוש זה</w:t>
      </w:r>
      <w:r>
        <w:rPr>
          <w:rStyle w:val="FootnoteAnchor"/>
          <w:rFonts w:ascii="Times New Roman" w:hAnsi="Times New Roman"/>
          <w:b w:val="false"/>
          <w:b w:val="false"/>
          <w:bCs w:val="false"/>
          <w:sz w:val="24"/>
          <w:sz w:val="24"/>
          <w:szCs w:val="24"/>
          <w:u w:val="none"/>
          <w:rtl w:val="true"/>
        </w:rPr>
        <w:footnoteReference w:id="6"/>
      </w:r>
      <w:r>
        <w:rPr>
          <w:rFonts w:cs="David CLM"/>
          <w:b w:val="false"/>
          <w:bCs w:val="false"/>
          <w:sz w:val="24"/>
          <w:szCs w:val="24"/>
          <w:u w:val="none"/>
          <w:rtl w:val="true"/>
        </w:rPr>
        <w:t xml:space="preserve">. </w:t>
      </w:r>
      <w:r>
        <w:rPr>
          <w:rFonts w:ascii="Times New Roman" w:hAnsi="Times New Roman"/>
          <w:b w:val="false"/>
          <w:b w:val="false"/>
          <w:bCs w:val="false"/>
          <w:sz w:val="24"/>
          <w:sz w:val="24"/>
          <w:szCs w:val="24"/>
          <w:u w:val="none"/>
          <w:rtl w:val="true"/>
        </w:rPr>
        <w:t>בהיותו יש טבעי על פי הגדרה זו</w:t>
      </w:r>
      <w:r>
        <w:rPr>
          <w:rFonts w:cs="David CLM"/>
          <w:b w:val="false"/>
          <w:bCs w:val="false"/>
          <w:sz w:val="24"/>
          <w:szCs w:val="24"/>
          <w:u w:val="none"/>
          <w:rtl w:val="true"/>
        </w:rPr>
        <w:t xml:space="preserve">, </w:t>
      </w:r>
      <w:r>
        <w:rPr>
          <w:rFonts w:ascii="Times New Roman" w:hAnsi="Times New Roman"/>
          <w:b w:val="false"/>
          <w:b w:val="false"/>
          <w:bCs w:val="false"/>
          <w:sz w:val="24"/>
          <w:sz w:val="24"/>
          <w:szCs w:val="24"/>
          <w:u w:val="none"/>
          <w:rtl w:val="true"/>
        </w:rPr>
        <w:t>האדם מונע אף הוא מדחף פנימי החותר למימוש לתכלית כלשהי – וצורתו של האדם</w:t>
      </w:r>
      <w:r>
        <w:rPr>
          <w:rFonts w:cs="David CLM"/>
          <w:b w:val="false"/>
          <w:bCs w:val="false"/>
          <w:sz w:val="24"/>
          <w:szCs w:val="24"/>
          <w:u w:val="none"/>
          <w:rtl w:val="true"/>
        </w:rPr>
        <w:t xml:space="preserve">, </w:t>
      </w:r>
      <w:r>
        <w:rPr>
          <w:rFonts w:ascii="Times New Roman" w:hAnsi="Times New Roman"/>
          <w:b w:val="false"/>
          <w:b w:val="false"/>
          <w:bCs w:val="false"/>
          <w:sz w:val="24"/>
          <w:sz w:val="24"/>
          <w:szCs w:val="24"/>
          <w:u w:val="none"/>
          <w:rtl w:val="true"/>
        </w:rPr>
        <w:t>באשר הוא אדם</w:t>
      </w:r>
      <w:r>
        <w:rPr>
          <w:rFonts w:cs="David CLM"/>
          <w:b w:val="false"/>
          <w:bCs w:val="false"/>
          <w:sz w:val="24"/>
          <w:szCs w:val="24"/>
          <w:u w:val="none"/>
          <w:rtl w:val="true"/>
        </w:rPr>
        <w:t xml:space="preserve">, </w:t>
      </w:r>
      <w:r>
        <w:rPr>
          <w:rFonts w:ascii="Times New Roman" w:hAnsi="Times New Roman"/>
          <w:b w:val="false"/>
          <w:b w:val="false"/>
          <w:bCs w:val="false"/>
          <w:sz w:val="24"/>
          <w:sz w:val="24"/>
          <w:szCs w:val="24"/>
          <w:u w:val="none"/>
          <w:rtl w:val="true"/>
        </w:rPr>
        <w:t>מוגדרת על פי פועלו למימוש תכלית זו</w:t>
      </w:r>
      <w:r>
        <w:rPr>
          <w:rFonts w:cs="David CLM"/>
          <w:b w:val="false"/>
          <w:bCs w:val="false"/>
          <w:sz w:val="24"/>
          <w:szCs w:val="24"/>
          <w:u w:val="none"/>
          <w:rtl w:val="true"/>
        </w:rPr>
        <w:t xml:space="preserve">: </w:t>
      </w:r>
      <w:r>
        <w:rPr>
          <w:rFonts w:ascii="Times New Roman" w:hAnsi="Times New Roman"/>
          <w:b w:val="false"/>
          <w:b w:val="false"/>
          <w:bCs w:val="false"/>
          <w:sz w:val="24"/>
          <w:sz w:val="24"/>
          <w:szCs w:val="24"/>
          <w:u w:val="none"/>
          <w:rtl w:val="true"/>
        </w:rPr>
        <w:t>האדם הטוב</w:t>
      </w:r>
      <w:r>
        <w:rPr>
          <w:rFonts w:cs="David CLM"/>
          <w:b w:val="false"/>
          <w:bCs w:val="false"/>
          <w:sz w:val="24"/>
          <w:szCs w:val="24"/>
          <w:u w:val="none"/>
          <w:rtl w:val="true"/>
        </w:rPr>
        <w:t xml:space="preserve">, </w:t>
      </w:r>
      <w:r>
        <w:rPr>
          <w:rFonts w:ascii="Times New Roman" w:hAnsi="Times New Roman"/>
          <w:b w:val="false"/>
          <w:b w:val="false"/>
          <w:bCs w:val="false"/>
          <w:sz w:val="24"/>
          <w:sz w:val="24"/>
          <w:szCs w:val="24"/>
          <w:u w:val="none"/>
          <w:rtl w:val="true"/>
        </w:rPr>
        <w:t>הוא זה אשר יעשה זאת באופן מושלם</w:t>
      </w:r>
      <w:r>
        <w:rPr>
          <w:rFonts w:cs="David CLM"/>
          <w:b w:val="false"/>
          <w:bCs w:val="false"/>
          <w:sz w:val="24"/>
          <w:szCs w:val="24"/>
          <w:u w:val="none"/>
          <w:rtl w:val="true"/>
        </w:rPr>
        <w:t xml:space="preserve">. </w:t>
      </w:r>
      <w:r>
        <w:rPr>
          <w:rFonts w:ascii="Times New Roman" w:hAnsi="Times New Roman"/>
          <w:b w:val="false"/>
          <w:b w:val="false"/>
          <w:bCs w:val="false"/>
          <w:sz w:val="24"/>
          <w:sz w:val="24"/>
          <w:szCs w:val="24"/>
          <w:u w:val="none"/>
          <w:rtl w:val="true"/>
        </w:rPr>
        <w:t>על מנת לעמוד על טיבו של האדם הטוב</w:t>
      </w:r>
      <w:r>
        <w:rPr>
          <w:rFonts w:cs="David CLM"/>
          <w:b w:val="false"/>
          <w:bCs w:val="false"/>
          <w:sz w:val="24"/>
          <w:szCs w:val="24"/>
          <w:u w:val="none"/>
          <w:rtl w:val="true"/>
        </w:rPr>
        <w:t xml:space="preserve">, </w:t>
      </w:r>
      <w:r>
        <w:rPr>
          <w:rFonts w:ascii="Times New Roman" w:hAnsi="Times New Roman"/>
          <w:b w:val="false"/>
          <w:b w:val="false"/>
          <w:bCs w:val="false"/>
          <w:sz w:val="24"/>
          <w:sz w:val="24"/>
          <w:szCs w:val="24"/>
          <w:u w:val="none"/>
          <w:rtl w:val="true"/>
        </w:rPr>
        <w:t>אפוא</w:t>
      </w:r>
      <w:r>
        <w:rPr>
          <w:rFonts w:cs="David CLM"/>
          <w:b w:val="false"/>
          <w:bCs w:val="false"/>
          <w:sz w:val="24"/>
          <w:szCs w:val="24"/>
          <w:u w:val="none"/>
          <w:rtl w:val="true"/>
        </w:rPr>
        <w:t xml:space="preserve">, </w:t>
      </w:r>
      <w:r>
        <w:rPr>
          <w:rFonts w:ascii="Times New Roman" w:hAnsi="Times New Roman"/>
          <w:b w:val="false"/>
          <w:b w:val="false"/>
          <w:bCs w:val="false"/>
          <w:sz w:val="24"/>
          <w:sz w:val="24"/>
          <w:szCs w:val="24"/>
          <w:u w:val="none"/>
          <w:rtl w:val="true"/>
        </w:rPr>
        <w:t>עלינו לעמוד תחילה על טיבה של אותה התכלית</w:t>
      </w:r>
      <w:r>
        <w:rPr>
          <w:rFonts w:cs="David CLM"/>
          <w:b w:val="false"/>
          <w:bCs w:val="false"/>
          <w:sz w:val="24"/>
          <w:szCs w:val="24"/>
          <w:u w:val="none"/>
          <w:rtl w:val="true"/>
        </w:rPr>
        <w:t xml:space="preserve">, </w:t>
      </w:r>
      <w:r>
        <w:rPr>
          <w:rFonts w:ascii="Times New Roman" w:hAnsi="Times New Roman"/>
          <w:b w:val="false"/>
          <w:b w:val="false"/>
          <w:bCs w:val="false"/>
          <w:sz w:val="24"/>
          <w:sz w:val="24"/>
          <w:szCs w:val="24"/>
          <w:u w:val="none"/>
          <w:rtl w:val="true"/>
        </w:rPr>
        <w:t>ועל האופן שבו אדם יוכל לממש אותה</w:t>
      </w:r>
      <w:r>
        <w:rPr>
          <w:rStyle w:val="FootnoteAnchor"/>
          <w:rFonts w:ascii="Times New Roman" w:hAnsi="Times New Roman"/>
          <w:b w:val="false"/>
          <w:b w:val="false"/>
          <w:bCs w:val="false"/>
          <w:sz w:val="24"/>
          <w:sz w:val="24"/>
          <w:szCs w:val="24"/>
          <w:u w:val="none"/>
          <w:rtl w:val="true"/>
        </w:rPr>
        <w:footnoteReference w:id="7"/>
      </w:r>
      <w:r>
        <w:rPr>
          <w:rFonts w:cs="David CLM"/>
          <w:b w:val="false"/>
          <w:bCs w:val="false"/>
          <w:sz w:val="24"/>
          <w:szCs w:val="24"/>
          <w:u w:val="none"/>
          <w:rtl w:val="true"/>
        </w:rPr>
        <w:t>.</w:t>
      </w:r>
    </w:p>
    <w:p>
      <w:pPr>
        <w:pStyle w:val="Style13"/>
        <w:bidi w:val="1"/>
        <w:spacing w:lineRule="auto" w:line="360" w:before="0" w:after="0"/>
        <w:ind w:left="0" w:right="0" w:firstLine="58"/>
        <w:contextualSpacing/>
        <w:rPr>
          <w:rFonts w:ascii="Times New Roman" w:hAnsi="Times New Roman" w:cs="David CLM"/>
          <w:b w:val="false"/>
          <w:b w:val="false"/>
          <w:bCs w:val="false"/>
          <w:sz w:val="24"/>
          <w:szCs w:val="24"/>
          <w:u w:val="none"/>
        </w:rPr>
      </w:pPr>
      <w:r>
        <w:rPr>
          <w:rFonts w:cs="David CLM"/>
          <w:b w:val="false"/>
          <w:bCs w:val="false"/>
          <w:sz w:val="24"/>
          <w:szCs w:val="24"/>
          <w:u w:val="none"/>
          <w:rtl w:val="true"/>
        </w:rPr>
        <w:tab/>
      </w:r>
      <w:r>
        <w:rPr>
          <w:rFonts w:ascii="Times New Roman" w:hAnsi="Times New Roman"/>
          <w:b w:val="false"/>
          <w:b w:val="false"/>
          <w:bCs w:val="false"/>
          <w:sz w:val="24"/>
          <w:sz w:val="24"/>
          <w:szCs w:val="24"/>
          <w:u w:val="none"/>
          <w:rtl w:val="true"/>
        </w:rPr>
        <w:t>התכלית האנושית</w:t>
      </w:r>
      <w:r>
        <w:rPr>
          <w:rFonts w:cs="David CLM"/>
          <w:b w:val="false"/>
          <w:bCs w:val="false"/>
          <w:sz w:val="24"/>
          <w:szCs w:val="24"/>
          <w:u w:val="none"/>
          <w:rtl w:val="true"/>
        </w:rPr>
        <w:t xml:space="preserve">, </w:t>
      </w:r>
      <w:r>
        <w:rPr>
          <w:rFonts w:ascii="Times New Roman" w:hAnsi="Times New Roman"/>
          <w:b w:val="false"/>
          <w:b w:val="false"/>
          <w:bCs w:val="false"/>
          <w:sz w:val="24"/>
          <w:sz w:val="24"/>
          <w:szCs w:val="24"/>
          <w:u w:val="none"/>
          <w:rtl w:val="true"/>
        </w:rPr>
        <w:t>קובע אריסטו</w:t>
      </w:r>
      <w:r>
        <w:rPr>
          <w:rFonts w:cs="David CLM"/>
          <w:b w:val="false"/>
          <w:bCs w:val="false"/>
          <w:sz w:val="24"/>
          <w:szCs w:val="24"/>
          <w:u w:val="none"/>
          <w:rtl w:val="true"/>
        </w:rPr>
        <w:t xml:space="preserve">, </w:t>
      </w:r>
      <w:r>
        <w:rPr>
          <w:rFonts w:ascii="Times New Roman" w:hAnsi="Times New Roman"/>
          <w:b w:val="false"/>
          <w:b w:val="false"/>
          <w:bCs w:val="false"/>
          <w:sz w:val="24"/>
          <w:sz w:val="24"/>
          <w:szCs w:val="24"/>
          <w:u w:val="none"/>
          <w:rtl w:val="true"/>
        </w:rPr>
        <w:t xml:space="preserve">היא תוצר פעולתו של אותו האדם באשר הוא אדם </w:t>
      </w:r>
      <w:r>
        <w:rPr>
          <w:rFonts w:cs="David CLM"/>
          <w:b w:val="false"/>
          <w:bCs w:val="false"/>
          <w:sz w:val="24"/>
          <w:szCs w:val="24"/>
          <w:u w:val="none"/>
          <w:rtl w:val="true"/>
        </w:rPr>
        <w:t xml:space="preserve">- </w:t>
      </w:r>
      <w:r>
        <w:rPr>
          <w:rFonts w:ascii="Times New Roman" w:hAnsi="Times New Roman"/>
          <w:b w:val="false"/>
          <w:b w:val="false"/>
          <w:bCs w:val="false"/>
          <w:sz w:val="24"/>
          <w:sz w:val="24"/>
          <w:szCs w:val="24"/>
          <w:u w:val="none"/>
          <w:rtl w:val="true"/>
        </w:rPr>
        <w:t>הנפרד ונעלה על אותו האדם עצמו</w:t>
      </w:r>
      <w:r>
        <w:rPr>
          <w:rStyle w:val="FootnoteAnchor"/>
          <w:rFonts w:ascii="Times New Roman" w:hAnsi="Times New Roman"/>
          <w:b w:val="false"/>
          <w:b w:val="false"/>
          <w:bCs w:val="false"/>
          <w:sz w:val="24"/>
          <w:sz w:val="24"/>
          <w:szCs w:val="24"/>
          <w:u w:val="none"/>
          <w:rtl w:val="true"/>
        </w:rPr>
        <w:footnoteReference w:id="8"/>
      </w:r>
      <w:r>
        <w:rPr>
          <w:rFonts w:cs="David CLM"/>
          <w:b w:val="false"/>
          <w:bCs w:val="false"/>
          <w:sz w:val="24"/>
          <w:szCs w:val="24"/>
          <w:u w:val="none"/>
          <w:rtl w:val="true"/>
        </w:rPr>
        <w:t xml:space="preserve">. </w:t>
      </w:r>
      <w:r>
        <w:rPr>
          <w:rFonts w:ascii="Times New Roman" w:hAnsi="Times New Roman"/>
          <w:b w:val="false"/>
          <w:b w:val="false"/>
          <w:bCs w:val="false"/>
          <w:sz w:val="24"/>
          <w:sz w:val="24"/>
          <w:szCs w:val="24"/>
          <w:u w:val="none"/>
          <w:rtl w:val="true"/>
        </w:rPr>
        <w:t>בהיותה הטוב העליון ביותר</w:t>
      </w:r>
      <w:r>
        <w:rPr>
          <w:rFonts w:cs="David CLM"/>
          <w:b w:val="false"/>
          <w:bCs w:val="false"/>
          <w:sz w:val="24"/>
          <w:szCs w:val="24"/>
          <w:u w:val="none"/>
          <w:rtl w:val="true"/>
        </w:rPr>
        <w:t xml:space="preserve">, </w:t>
      </w:r>
      <w:r>
        <w:rPr>
          <w:rFonts w:ascii="Times New Roman" w:hAnsi="Times New Roman"/>
          <w:b w:val="false"/>
          <w:b w:val="false"/>
          <w:bCs w:val="false"/>
          <w:sz w:val="24"/>
          <w:sz w:val="24"/>
          <w:szCs w:val="24"/>
          <w:u w:val="none"/>
          <w:rtl w:val="true"/>
        </w:rPr>
        <w:t>אותה תכלית חייבת להיות מושלמת – רצויה כשלעצמה ולא לשמה של אף תכלית אחרת</w:t>
      </w:r>
      <w:r>
        <w:rPr>
          <w:rFonts w:cs="David CLM"/>
          <w:b w:val="false"/>
          <w:bCs w:val="false"/>
          <w:sz w:val="24"/>
          <w:szCs w:val="24"/>
          <w:u w:val="none"/>
          <w:rtl w:val="true"/>
        </w:rPr>
        <w:t xml:space="preserve">. </w:t>
      </w:r>
      <w:r>
        <w:rPr>
          <w:rFonts w:ascii="Times New Roman" w:hAnsi="Times New Roman"/>
          <w:b w:val="false"/>
          <w:b w:val="false"/>
          <w:bCs w:val="false"/>
          <w:sz w:val="24"/>
          <w:sz w:val="24"/>
          <w:szCs w:val="24"/>
          <w:u w:val="none"/>
          <w:rtl w:val="true"/>
        </w:rPr>
        <w:t>אריסטו קובע תכלית זו בתור האושר</w:t>
      </w:r>
      <w:r>
        <w:rPr>
          <w:rFonts w:cs="David CLM"/>
          <w:b w:val="false"/>
          <w:bCs w:val="false"/>
          <w:sz w:val="24"/>
          <w:szCs w:val="24"/>
          <w:u w:val="none"/>
          <w:rtl w:val="true"/>
        </w:rPr>
        <w:t xml:space="preserve">, </w:t>
      </w:r>
      <w:r>
        <w:rPr>
          <w:rFonts w:ascii="Times New Roman" w:hAnsi="Times New Roman"/>
          <w:b w:val="false"/>
          <w:b w:val="false"/>
          <w:bCs w:val="false"/>
          <w:sz w:val="24"/>
          <w:sz w:val="24"/>
          <w:szCs w:val="24"/>
          <w:u w:val="none"/>
          <w:rtl w:val="true"/>
        </w:rPr>
        <w:t>אשר אליו כולנו שואפים</w:t>
      </w:r>
      <w:r>
        <w:rPr>
          <w:rFonts w:cs="David CLM"/>
          <w:b w:val="false"/>
          <w:bCs w:val="false"/>
          <w:sz w:val="24"/>
          <w:szCs w:val="24"/>
          <w:u w:val="none"/>
          <w:rtl w:val="true"/>
        </w:rPr>
        <w:t xml:space="preserve">, </w:t>
      </w:r>
      <w:r>
        <w:rPr>
          <w:rFonts w:ascii="Times New Roman" w:hAnsi="Times New Roman"/>
          <w:b w:val="false"/>
          <w:b w:val="false"/>
          <w:bCs w:val="false"/>
          <w:sz w:val="24"/>
          <w:sz w:val="24"/>
          <w:szCs w:val="24"/>
          <w:u w:val="none"/>
          <w:rtl w:val="true"/>
        </w:rPr>
        <w:t>ואשר בשמו אנו בוחרים כיצד לפעול בעולם</w:t>
      </w:r>
      <w:r>
        <w:rPr>
          <w:rStyle w:val="FootnoteAnchor"/>
          <w:rFonts w:ascii="Times New Roman" w:hAnsi="Times New Roman"/>
          <w:b w:val="false"/>
          <w:b w:val="false"/>
          <w:bCs w:val="false"/>
          <w:sz w:val="24"/>
          <w:sz w:val="24"/>
          <w:szCs w:val="24"/>
          <w:u w:val="none"/>
          <w:rtl w:val="true"/>
        </w:rPr>
        <w:footnoteReference w:id="9"/>
      </w:r>
      <w:r>
        <w:rPr>
          <w:rFonts w:cs="David CLM"/>
          <w:b w:val="false"/>
          <w:bCs w:val="false"/>
          <w:sz w:val="24"/>
          <w:szCs w:val="24"/>
          <w:u w:val="none"/>
          <w:rtl w:val="true"/>
        </w:rPr>
        <w:t xml:space="preserve">. </w:t>
      </w:r>
      <w:r>
        <w:rPr>
          <w:rFonts w:ascii="Times New Roman" w:hAnsi="Times New Roman"/>
          <w:b w:val="false"/>
          <w:b w:val="false"/>
          <w:bCs w:val="false"/>
          <w:sz w:val="24"/>
          <w:sz w:val="24"/>
          <w:szCs w:val="24"/>
          <w:u w:val="none"/>
          <w:rtl w:val="true"/>
        </w:rPr>
        <w:t>אלא שכאן נדרשת הבחנה חשובה</w:t>
      </w:r>
      <w:r>
        <w:rPr>
          <w:rFonts w:cs="David CLM"/>
          <w:b w:val="false"/>
          <w:bCs w:val="false"/>
          <w:sz w:val="24"/>
          <w:szCs w:val="24"/>
          <w:u w:val="none"/>
          <w:rtl w:val="true"/>
        </w:rPr>
        <w:t xml:space="preserve">, </w:t>
      </w:r>
      <w:r>
        <w:rPr>
          <w:rFonts w:ascii="Times New Roman" w:hAnsi="Times New Roman"/>
          <w:b w:val="false"/>
          <w:b w:val="false"/>
          <w:bCs w:val="false"/>
          <w:sz w:val="24"/>
          <w:sz w:val="24"/>
          <w:szCs w:val="24"/>
          <w:u w:val="none"/>
          <w:rtl w:val="true"/>
        </w:rPr>
        <w:t>שחורגת מן השימוש הרווח במושג האושר</w:t>
      </w:r>
      <w:r>
        <w:rPr>
          <w:rFonts w:cs="David CLM"/>
          <w:b w:val="false"/>
          <w:bCs w:val="false"/>
          <w:sz w:val="24"/>
          <w:szCs w:val="24"/>
          <w:u w:val="none"/>
          <w:rtl w:val="true"/>
        </w:rPr>
        <w:t xml:space="preserve">: </w:t>
      </w:r>
      <w:r>
        <w:rPr>
          <w:rFonts w:ascii="Times New Roman" w:hAnsi="Times New Roman"/>
          <w:b w:val="false"/>
          <w:b w:val="false"/>
          <w:bCs w:val="false"/>
          <w:sz w:val="24"/>
          <w:sz w:val="24"/>
          <w:szCs w:val="24"/>
          <w:u w:val="none"/>
          <w:rtl w:val="true"/>
        </w:rPr>
        <w:t>היות והאדם באשר הוא אדם הוא יצור פוליטי</w:t>
      </w:r>
      <w:r>
        <w:rPr>
          <w:rFonts w:cs="David CLM"/>
          <w:b w:val="false"/>
          <w:bCs w:val="false"/>
          <w:sz w:val="24"/>
          <w:szCs w:val="24"/>
          <w:u w:val="none"/>
          <w:rtl w:val="true"/>
        </w:rPr>
        <w:t xml:space="preserve">, </w:t>
      </w:r>
      <w:r>
        <w:rPr>
          <w:rFonts w:ascii="Times New Roman" w:hAnsi="Times New Roman"/>
          <w:b w:val="false"/>
          <w:b w:val="false"/>
          <w:bCs w:val="false"/>
          <w:sz w:val="24"/>
          <w:sz w:val="24"/>
          <w:szCs w:val="24"/>
          <w:u w:val="none"/>
          <w:rtl w:val="true"/>
        </w:rPr>
        <w:t xml:space="preserve">הטוב המספק עבורו אינו טובתו האישית גרידא – כשם שאנו נוטים כיום לחשוב </w:t>
      </w:r>
      <w:r>
        <w:rPr>
          <w:rFonts w:cs="David CLM"/>
          <w:b w:val="false"/>
          <w:bCs w:val="false"/>
          <w:sz w:val="24"/>
          <w:szCs w:val="24"/>
          <w:u w:val="none"/>
          <w:rtl w:val="true"/>
        </w:rPr>
        <w:t xml:space="preserve">- </w:t>
      </w:r>
      <w:r>
        <w:rPr>
          <w:rFonts w:ascii="Times New Roman" w:hAnsi="Times New Roman"/>
          <w:b w:val="false"/>
          <w:b w:val="false"/>
          <w:bCs w:val="false"/>
          <w:sz w:val="24"/>
          <w:sz w:val="24"/>
          <w:szCs w:val="24"/>
          <w:u w:val="none"/>
          <w:rtl w:val="true"/>
        </w:rPr>
        <w:t>אלא אושרם של בני משפחתו</w:t>
      </w:r>
      <w:r>
        <w:rPr>
          <w:rFonts w:cs="David CLM"/>
          <w:b w:val="false"/>
          <w:bCs w:val="false"/>
          <w:sz w:val="24"/>
          <w:szCs w:val="24"/>
          <w:u w:val="none"/>
          <w:rtl w:val="true"/>
        </w:rPr>
        <w:t xml:space="preserve">, </w:t>
      </w:r>
      <w:r>
        <w:rPr>
          <w:rFonts w:ascii="Times New Roman" w:hAnsi="Times New Roman"/>
          <w:b w:val="false"/>
          <w:b w:val="false"/>
          <w:bCs w:val="false"/>
          <w:sz w:val="24"/>
          <w:sz w:val="24"/>
          <w:szCs w:val="24"/>
          <w:u w:val="none"/>
          <w:rtl w:val="true"/>
        </w:rPr>
        <w:t>חבריו ושאר אזרחי העיר</w:t>
      </w:r>
      <w:r>
        <w:rPr>
          <w:rFonts w:cs="David CLM"/>
          <w:b w:val="false"/>
          <w:bCs w:val="false"/>
          <w:sz w:val="24"/>
          <w:szCs w:val="24"/>
          <w:u w:val="none"/>
          <w:rtl w:val="true"/>
        </w:rPr>
        <w:t xml:space="preserve">: </w:t>
      </w:r>
      <w:r>
        <w:rPr>
          <w:rFonts w:ascii="Times New Roman" w:hAnsi="Times New Roman"/>
          <w:b w:val="false"/>
          <w:b w:val="false"/>
          <w:bCs w:val="false"/>
          <w:sz w:val="24"/>
          <w:sz w:val="24"/>
          <w:szCs w:val="24"/>
          <w:u w:val="none"/>
          <w:rtl w:val="true"/>
        </w:rPr>
        <w:t>תכליתו של האדם</w:t>
      </w:r>
      <w:r>
        <w:rPr>
          <w:rFonts w:cs="David CLM"/>
          <w:b w:val="false"/>
          <w:bCs w:val="false"/>
          <w:sz w:val="24"/>
          <w:szCs w:val="24"/>
          <w:u w:val="none"/>
          <w:rtl w:val="true"/>
        </w:rPr>
        <w:t xml:space="preserve">, </w:t>
      </w:r>
      <w:r>
        <w:rPr>
          <w:rFonts w:ascii="Times New Roman" w:hAnsi="Times New Roman"/>
          <w:b w:val="false"/>
          <w:b w:val="false"/>
          <w:bCs w:val="false"/>
          <w:sz w:val="24"/>
          <w:sz w:val="24"/>
          <w:szCs w:val="24"/>
          <w:u w:val="none"/>
          <w:rtl w:val="true"/>
        </w:rPr>
        <w:t>כאמור</w:t>
      </w:r>
      <w:r>
        <w:rPr>
          <w:rFonts w:cs="David CLM"/>
          <w:b w:val="false"/>
          <w:bCs w:val="false"/>
          <w:sz w:val="24"/>
          <w:szCs w:val="24"/>
          <w:u w:val="none"/>
          <w:rtl w:val="true"/>
        </w:rPr>
        <w:t xml:space="preserve">, </w:t>
      </w:r>
      <w:r>
        <w:rPr>
          <w:rFonts w:ascii="Times New Roman" w:hAnsi="Times New Roman"/>
          <w:b w:val="false"/>
          <w:b w:val="false"/>
          <w:bCs w:val="false"/>
          <w:sz w:val="24"/>
          <w:sz w:val="24"/>
          <w:szCs w:val="24"/>
          <w:u w:val="none"/>
          <w:rtl w:val="true"/>
        </w:rPr>
        <w:t>היא תוצר נפרד העולה על האדם עצמו</w:t>
      </w:r>
      <w:r>
        <w:rPr>
          <w:rFonts w:cs="David CLM"/>
          <w:b w:val="false"/>
          <w:bCs w:val="false"/>
          <w:sz w:val="24"/>
          <w:szCs w:val="24"/>
          <w:u w:val="none"/>
          <w:rtl w:val="true"/>
        </w:rPr>
        <w:t xml:space="preserve">. </w:t>
      </w:r>
      <w:r>
        <w:rPr>
          <w:rFonts w:ascii="Times New Roman" w:hAnsi="Times New Roman"/>
          <w:b w:val="false"/>
          <w:b w:val="false"/>
          <w:bCs w:val="false"/>
          <w:sz w:val="24"/>
          <w:sz w:val="24"/>
          <w:szCs w:val="24"/>
          <w:u w:val="none"/>
          <w:rtl w:val="true"/>
        </w:rPr>
        <w:t>האדם הטוב</w:t>
      </w:r>
      <w:r>
        <w:rPr>
          <w:rFonts w:cs="David CLM"/>
          <w:b w:val="false"/>
          <w:bCs w:val="false"/>
          <w:sz w:val="24"/>
          <w:szCs w:val="24"/>
          <w:u w:val="none"/>
          <w:rtl w:val="true"/>
        </w:rPr>
        <w:t xml:space="preserve">, </w:t>
      </w:r>
      <w:r>
        <w:rPr>
          <w:rFonts w:ascii="Times New Roman" w:hAnsi="Times New Roman"/>
          <w:b w:val="false"/>
          <w:b w:val="false"/>
          <w:bCs w:val="false"/>
          <w:sz w:val="24"/>
          <w:sz w:val="24"/>
          <w:szCs w:val="24"/>
          <w:u w:val="none"/>
          <w:rtl w:val="true"/>
        </w:rPr>
        <w:t>אפוא</w:t>
      </w:r>
      <w:r>
        <w:rPr>
          <w:rFonts w:cs="David CLM"/>
          <w:b w:val="false"/>
          <w:bCs w:val="false"/>
          <w:sz w:val="24"/>
          <w:szCs w:val="24"/>
          <w:u w:val="none"/>
          <w:rtl w:val="true"/>
        </w:rPr>
        <w:t xml:space="preserve">, </w:t>
      </w:r>
      <w:r>
        <w:rPr>
          <w:rFonts w:ascii="Times New Roman" w:hAnsi="Times New Roman"/>
          <w:b w:val="false"/>
          <w:b w:val="false"/>
          <w:bCs w:val="false"/>
          <w:sz w:val="24"/>
          <w:sz w:val="24"/>
          <w:szCs w:val="24"/>
          <w:u w:val="none"/>
          <w:rtl w:val="true"/>
        </w:rPr>
        <w:t>הוא זה אשר בפועלו ובאורך חייו מממש את תכליתו – אושרם של הרבים – בצורה הטובה והמצוינת ביותר</w:t>
      </w:r>
      <w:r>
        <w:rPr>
          <w:rFonts w:cs="David CLM"/>
          <w:b w:val="false"/>
          <w:bCs w:val="false"/>
          <w:sz w:val="24"/>
          <w:szCs w:val="24"/>
          <w:u w:val="none"/>
          <w:rtl w:val="true"/>
        </w:rPr>
        <w:t xml:space="preserve">. </w:t>
      </w:r>
      <w:r>
        <w:rPr>
          <w:rFonts w:ascii="Times New Roman" w:hAnsi="Times New Roman"/>
          <w:b w:val="false"/>
          <w:b w:val="false"/>
          <w:bCs w:val="false"/>
          <w:sz w:val="24"/>
          <w:sz w:val="24"/>
          <w:szCs w:val="24"/>
          <w:u w:val="none"/>
          <w:rtl w:val="true"/>
        </w:rPr>
        <w:t>וכיצד יעלה בידו של האדם לחיות את החיים המאושרים</w:t>
      </w:r>
      <w:r>
        <w:rPr>
          <w:rFonts w:cs="David CLM"/>
          <w:b w:val="false"/>
          <w:bCs w:val="false"/>
          <w:sz w:val="24"/>
          <w:szCs w:val="24"/>
          <w:u w:val="none"/>
          <w:rtl w:val="true"/>
        </w:rPr>
        <w:t>?</w:t>
      </w:r>
    </w:p>
    <w:p>
      <w:pPr>
        <w:pStyle w:val="Style13"/>
        <w:bidi w:val="1"/>
        <w:spacing w:lineRule="auto" w:line="360" w:before="0" w:after="0"/>
        <w:ind w:left="0" w:right="0" w:firstLine="58"/>
        <w:contextualSpacing/>
        <w:rPr>
          <w:rFonts w:ascii="Times New Roman" w:hAnsi="Times New Roman" w:cs="David CLM"/>
          <w:b w:val="false"/>
          <w:b w:val="false"/>
          <w:bCs w:val="false"/>
          <w:sz w:val="24"/>
          <w:szCs w:val="24"/>
          <w:u w:val="none"/>
        </w:rPr>
      </w:pPr>
      <w:r>
        <w:rPr>
          <w:rFonts w:cs="David CLM"/>
          <w:b w:val="false"/>
          <w:bCs w:val="false"/>
          <w:sz w:val="24"/>
          <w:szCs w:val="24"/>
          <w:u w:val="none"/>
          <w:rtl w:val="true"/>
        </w:rPr>
        <w:tab/>
      </w:r>
      <w:r>
        <w:rPr>
          <w:rFonts w:ascii="Times New Roman" w:hAnsi="Times New Roman"/>
          <w:b w:val="false"/>
          <w:b w:val="false"/>
          <w:bCs w:val="false"/>
          <w:sz w:val="24"/>
          <w:sz w:val="24"/>
          <w:szCs w:val="24"/>
          <w:u w:val="none"/>
          <w:rtl w:val="true"/>
        </w:rPr>
        <w:t>בניגוד לשאר היישים הטבעיים</w:t>
      </w:r>
      <w:r>
        <w:rPr>
          <w:rFonts w:cs="David CLM"/>
          <w:b w:val="false"/>
          <w:bCs w:val="false"/>
          <w:sz w:val="24"/>
          <w:szCs w:val="24"/>
          <w:u w:val="none"/>
          <w:rtl w:val="true"/>
        </w:rPr>
        <w:t xml:space="preserve">, </w:t>
      </w:r>
      <w:r>
        <w:rPr>
          <w:rFonts w:ascii="Times New Roman" w:hAnsi="Times New Roman"/>
          <w:b w:val="false"/>
          <w:b w:val="false"/>
          <w:bCs w:val="false"/>
          <w:sz w:val="24"/>
          <w:sz w:val="24"/>
          <w:szCs w:val="24"/>
          <w:u w:val="none"/>
          <w:rtl w:val="true"/>
        </w:rPr>
        <w:t>אין די בדחפו הפנימי של האדם לממש תכלית זו</w:t>
      </w:r>
      <w:r>
        <w:rPr>
          <w:rFonts w:cs="David CLM"/>
          <w:b w:val="false"/>
          <w:bCs w:val="false"/>
          <w:sz w:val="24"/>
          <w:szCs w:val="24"/>
          <w:u w:val="none"/>
          <w:rtl w:val="true"/>
        </w:rPr>
        <w:t xml:space="preserve">. </w:t>
      </w:r>
      <w:r>
        <w:rPr>
          <w:rFonts w:ascii="Times New Roman" w:hAnsi="Times New Roman"/>
          <w:b w:val="false"/>
          <w:b w:val="false"/>
          <w:bCs w:val="false"/>
          <w:sz w:val="24"/>
          <w:sz w:val="24"/>
          <w:szCs w:val="24"/>
          <w:u w:val="none"/>
          <w:rtl w:val="true"/>
        </w:rPr>
        <w:t>על מנת לחיות את חיי האושר</w:t>
      </w:r>
      <w:r>
        <w:rPr>
          <w:rFonts w:cs="David CLM"/>
          <w:b w:val="false"/>
          <w:bCs w:val="false"/>
          <w:sz w:val="24"/>
          <w:szCs w:val="24"/>
          <w:u w:val="none"/>
          <w:rtl w:val="true"/>
        </w:rPr>
        <w:t xml:space="preserve">, </w:t>
      </w:r>
      <w:r>
        <w:rPr>
          <w:rFonts w:ascii="Times New Roman" w:hAnsi="Times New Roman"/>
          <w:b w:val="false"/>
          <w:b w:val="false"/>
          <w:bCs w:val="false"/>
          <w:sz w:val="24"/>
          <w:sz w:val="24"/>
          <w:szCs w:val="24"/>
          <w:u w:val="none"/>
          <w:rtl w:val="true"/>
        </w:rPr>
        <w:t>קובע אריסטו</w:t>
      </w:r>
      <w:r>
        <w:rPr>
          <w:rFonts w:cs="David CLM"/>
          <w:b w:val="false"/>
          <w:bCs w:val="false"/>
          <w:sz w:val="24"/>
          <w:szCs w:val="24"/>
          <w:u w:val="none"/>
          <w:rtl w:val="true"/>
        </w:rPr>
        <w:t xml:space="preserve">, </w:t>
      </w:r>
      <w:r>
        <w:rPr>
          <w:rFonts w:ascii="Times New Roman" w:hAnsi="Times New Roman"/>
          <w:b w:val="false"/>
          <w:b w:val="false"/>
          <w:bCs w:val="false"/>
          <w:sz w:val="24"/>
          <w:sz w:val="24"/>
          <w:szCs w:val="24"/>
          <w:u w:val="none"/>
          <w:rtl w:val="true"/>
        </w:rPr>
        <w:t>על האדם לחיות על פי הסגולה הטובה</w:t>
      </w:r>
      <w:r>
        <w:rPr>
          <w:rStyle w:val="FootnoteAnchor"/>
          <w:rFonts w:ascii="Times New Roman" w:hAnsi="Times New Roman"/>
          <w:b w:val="false"/>
          <w:b w:val="false"/>
          <w:bCs w:val="false"/>
          <w:sz w:val="24"/>
          <w:sz w:val="24"/>
          <w:szCs w:val="24"/>
          <w:u w:val="none"/>
          <w:rtl w:val="true"/>
        </w:rPr>
        <w:footnoteReference w:id="10"/>
      </w:r>
      <w:r>
        <w:rPr>
          <w:rFonts w:ascii="Times New Roman" w:hAnsi="Times New Roman"/>
          <w:b w:val="false"/>
          <w:b w:val="false"/>
          <w:bCs w:val="false"/>
          <w:sz w:val="24"/>
          <w:sz w:val="24"/>
          <w:szCs w:val="24"/>
          <w:u w:val="none"/>
          <w:rtl w:val="true"/>
        </w:rPr>
        <w:t xml:space="preserve"> – וזו איננה טבעית</w:t>
      </w:r>
      <w:r>
        <w:rPr>
          <w:rFonts w:cs="David CLM"/>
          <w:b w:val="false"/>
          <w:bCs w:val="false"/>
          <w:sz w:val="24"/>
          <w:szCs w:val="24"/>
          <w:u w:val="none"/>
          <w:rtl w:val="true"/>
        </w:rPr>
        <w:t xml:space="preserve">, </w:t>
      </w:r>
      <w:r>
        <w:rPr>
          <w:rFonts w:ascii="Times New Roman" w:hAnsi="Times New Roman"/>
          <w:b w:val="false"/>
          <w:b w:val="false"/>
          <w:bCs w:val="false"/>
          <w:sz w:val="24"/>
          <w:sz w:val="24"/>
          <w:szCs w:val="24"/>
          <w:u w:val="none"/>
          <w:rtl w:val="true"/>
        </w:rPr>
        <w:t>אלא מן הטבע</w:t>
      </w:r>
      <w:r>
        <w:rPr>
          <w:rStyle w:val="FootnoteAnchor"/>
          <w:rFonts w:ascii="Times New Roman" w:hAnsi="Times New Roman"/>
          <w:b w:val="false"/>
          <w:b w:val="false"/>
          <w:bCs w:val="false"/>
          <w:sz w:val="24"/>
          <w:sz w:val="24"/>
          <w:szCs w:val="24"/>
          <w:u w:val="none"/>
          <w:rtl w:val="true"/>
        </w:rPr>
        <w:footnoteReference w:id="11"/>
      </w:r>
      <w:r>
        <w:rPr>
          <w:rFonts w:ascii="Times New Roman" w:hAnsi="Times New Roman"/>
          <w:b w:val="false"/>
          <w:b w:val="false"/>
          <w:bCs w:val="false"/>
          <w:sz w:val="24"/>
          <w:sz w:val="24"/>
          <w:szCs w:val="24"/>
          <w:u w:val="none"/>
          <w:rtl w:val="true"/>
        </w:rPr>
        <w:t xml:space="preserve"> </w:t>
      </w:r>
      <w:r>
        <w:rPr>
          <w:rFonts w:cs="David CLM"/>
          <w:b w:val="false"/>
          <w:bCs w:val="false"/>
          <w:sz w:val="24"/>
          <w:szCs w:val="24"/>
          <w:u w:val="none"/>
          <w:rtl w:val="true"/>
        </w:rPr>
        <w:t xml:space="preserve">- </w:t>
      </w:r>
      <w:r>
        <w:rPr>
          <w:rFonts w:ascii="Times New Roman" w:hAnsi="Times New Roman"/>
          <w:b w:val="false"/>
          <w:b w:val="false"/>
          <w:bCs w:val="false"/>
          <w:sz w:val="24"/>
          <w:sz w:val="24"/>
          <w:szCs w:val="24"/>
          <w:u w:val="none"/>
          <w:rtl w:val="true"/>
        </w:rPr>
        <w:t>משמע</w:t>
      </w:r>
      <w:r>
        <w:rPr>
          <w:rFonts w:cs="David CLM"/>
          <w:b w:val="false"/>
          <w:bCs w:val="false"/>
          <w:sz w:val="24"/>
          <w:szCs w:val="24"/>
          <w:u w:val="none"/>
          <w:rtl w:val="true"/>
        </w:rPr>
        <w:t xml:space="preserve">, </w:t>
      </w:r>
      <w:r>
        <w:rPr>
          <w:rFonts w:ascii="Times New Roman" w:hAnsi="Times New Roman"/>
          <w:b w:val="false"/>
          <w:b w:val="false"/>
          <w:bCs w:val="false"/>
          <w:sz w:val="24"/>
          <w:sz w:val="24"/>
          <w:szCs w:val="24"/>
          <w:u w:val="none"/>
          <w:rtl w:val="true"/>
        </w:rPr>
        <w:t>היא אינה תבוא לכדי ביטוי מכוח עצמה</w:t>
      </w:r>
      <w:r>
        <w:rPr>
          <w:rFonts w:cs="David CLM"/>
          <w:b w:val="false"/>
          <w:bCs w:val="false"/>
          <w:sz w:val="24"/>
          <w:szCs w:val="24"/>
          <w:u w:val="none"/>
          <w:rtl w:val="true"/>
        </w:rPr>
        <w:t xml:space="preserve">, </w:t>
      </w:r>
      <w:r>
        <w:rPr>
          <w:rFonts w:ascii="Times New Roman" w:hAnsi="Times New Roman"/>
          <w:b w:val="false"/>
          <w:b w:val="false"/>
          <w:bCs w:val="false"/>
          <w:sz w:val="24"/>
          <w:sz w:val="24"/>
          <w:szCs w:val="24"/>
          <w:u w:val="none"/>
          <w:rtl w:val="true"/>
        </w:rPr>
        <w:t>אלא בבחירה ובטיפוחה במתכוון</w:t>
      </w:r>
      <w:r>
        <w:rPr>
          <w:rFonts w:cs="David CLM"/>
          <w:b w:val="false"/>
          <w:bCs w:val="false"/>
          <w:sz w:val="24"/>
          <w:szCs w:val="24"/>
          <w:u w:val="none"/>
          <w:rtl w:val="true"/>
        </w:rPr>
        <w:t xml:space="preserve">. </w:t>
      </w:r>
      <w:r>
        <w:rPr>
          <w:rFonts w:ascii="Times New Roman" w:hAnsi="Times New Roman"/>
          <w:b w:val="false"/>
          <w:b w:val="false"/>
          <w:bCs w:val="false"/>
          <w:sz w:val="24"/>
          <w:sz w:val="24"/>
          <w:szCs w:val="24"/>
          <w:u w:val="none"/>
          <w:rtl w:val="true"/>
        </w:rPr>
        <w:t>האדם אשר</w:t>
      </w:r>
      <w:r>
        <w:rPr>
          <w:rFonts w:cs="David CLM"/>
          <w:b w:val="false"/>
          <w:bCs w:val="false"/>
          <w:sz w:val="24"/>
          <w:szCs w:val="24"/>
          <w:u w:val="none"/>
          <w:rtl w:val="true"/>
        </w:rPr>
        <w:t xml:space="preserve">, </w:t>
      </w:r>
      <w:r>
        <w:rPr>
          <w:rFonts w:ascii="Times New Roman" w:hAnsi="Times New Roman"/>
          <w:b w:val="false"/>
          <w:b w:val="false"/>
          <w:bCs w:val="false"/>
          <w:sz w:val="24"/>
          <w:sz w:val="24"/>
          <w:szCs w:val="24"/>
          <w:u w:val="none"/>
          <w:rtl w:val="true"/>
        </w:rPr>
        <w:t>בכוח ההרגל</w:t>
      </w:r>
      <w:r>
        <w:rPr>
          <w:rFonts w:cs="David CLM"/>
          <w:b w:val="false"/>
          <w:bCs w:val="false"/>
          <w:sz w:val="24"/>
          <w:szCs w:val="24"/>
          <w:u w:val="none"/>
          <w:rtl w:val="true"/>
        </w:rPr>
        <w:t xml:space="preserve">, </w:t>
      </w:r>
      <w:r>
        <w:rPr>
          <w:rFonts w:ascii="Times New Roman" w:hAnsi="Times New Roman"/>
          <w:b w:val="false"/>
          <w:b w:val="false"/>
          <w:bCs w:val="false"/>
          <w:sz w:val="24"/>
          <w:sz w:val="24"/>
          <w:szCs w:val="24"/>
          <w:u w:val="none"/>
          <w:rtl w:val="true"/>
        </w:rPr>
        <w:t>ימצה את נטייתו הטבעית לעבר דחף זה</w:t>
      </w:r>
      <w:r>
        <w:rPr>
          <w:rFonts w:cs="David CLM"/>
          <w:b w:val="false"/>
          <w:bCs w:val="false"/>
          <w:sz w:val="24"/>
          <w:szCs w:val="24"/>
          <w:u w:val="none"/>
          <w:rtl w:val="true"/>
        </w:rPr>
        <w:t xml:space="preserve">, </w:t>
      </w:r>
      <w:r>
        <w:rPr>
          <w:rFonts w:ascii="Times New Roman" w:hAnsi="Times New Roman"/>
          <w:b w:val="false"/>
          <w:b w:val="false"/>
          <w:bCs w:val="false"/>
          <w:sz w:val="24"/>
          <w:sz w:val="24"/>
          <w:szCs w:val="24"/>
          <w:u w:val="none"/>
          <w:rtl w:val="true"/>
        </w:rPr>
        <w:t>יעצב את אופיו על פי אותה סגולה טובה</w:t>
      </w:r>
      <w:r>
        <w:rPr>
          <w:rStyle w:val="FootnoteAnchor"/>
          <w:rFonts w:ascii="Times New Roman" w:hAnsi="Times New Roman"/>
          <w:b w:val="false"/>
          <w:b w:val="false"/>
          <w:bCs w:val="false"/>
          <w:sz w:val="24"/>
          <w:sz w:val="24"/>
          <w:szCs w:val="24"/>
          <w:u w:val="none"/>
          <w:rtl w:val="true"/>
        </w:rPr>
        <w:footnoteReference w:id="12"/>
      </w:r>
      <w:r>
        <w:rPr>
          <w:rFonts w:cs="David CLM"/>
          <w:b w:val="false"/>
          <w:bCs w:val="false"/>
          <w:sz w:val="24"/>
          <w:szCs w:val="24"/>
          <w:u w:val="none"/>
          <w:rtl w:val="true"/>
        </w:rPr>
        <w:t xml:space="preserve">; </w:t>
      </w:r>
      <w:r>
        <w:rPr>
          <w:rFonts w:ascii="Times New Roman" w:hAnsi="Times New Roman"/>
          <w:b w:val="false"/>
          <w:b w:val="false"/>
          <w:bCs w:val="false"/>
          <w:sz w:val="24"/>
          <w:sz w:val="24"/>
          <w:szCs w:val="24"/>
          <w:u w:val="none"/>
          <w:rtl w:val="true"/>
        </w:rPr>
        <w:t>האופי הטוב יאפשר לו להיות בפעולה מתוך הרגש הנכון – הוא יחוש במידה הנכונה של עונג וכאב הכרוכים במעשיו</w:t>
      </w:r>
      <w:r>
        <w:rPr>
          <w:rStyle w:val="FootnoteAnchor"/>
          <w:rFonts w:ascii="Times New Roman" w:hAnsi="Times New Roman"/>
          <w:b w:val="false"/>
          <w:b w:val="false"/>
          <w:bCs w:val="false"/>
          <w:sz w:val="24"/>
          <w:sz w:val="24"/>
          <w:szCs w:val="24"/>
          <w:u w:val="none"/>
          <w:rtl w:val="true"/>
        </w:rPr>
        <w:footnoteReference w:id="13"/>
      </w:r>
      <w:r>
        <w:rPr>
          <w:rFonts w:cs="David CLM"/>
          <w:b w:val="false"/>
          <w:bCs w:val="false"/>
          <w:sz w:val="24"/>
          <w:szCs w:val="24"/>
          <w:u w:val="none"/>
          <w:rtl w:val="true"/>
        </w:rPr>
        <w:t xml:space="preserve">; </w:t>
      </w:r>
      <w:r>
        <w:rPr>
          <w:rFonts w:ascii="Times New Roman" w:hAnsi="Times New Roman"/>
          <w:b w:val="false"/>
          <w:b w:val="false"/>
          <w:bCs w:val="false"/>
          <w:sz w:val="24"/>
          <w:sz w:val="24"/>
          <w:szCs w:val="24"/>
          <w:u w:val="none"/>
          <w:rtl w:val="true"/>
        </w:rPr>
        <w:t>ומתוך פעילות זו</w:t>
      </w:r>
      <w:r>
        <w:rPr>
          <w:rFonts w:cs="David CLM"/>
          <w:b w:val="false"/>
          <w:bCs w:val="false"/>
          <w:sz w:val="24"/>
          <w:szCs w:val="24"/>
          <w:u w:val="none"/>
          <w:rtl w:val="true"/>
        </w:rPr>
        <w:t xml:space="preserve">, </w:t>
      </w:r>
      <w:r>
        <w:rPr>
          <w:rFonts w:ascii="Times New Roman" w:hAnsi="Times New Roman"/>
          <w:b w:val="false"/>
          <w:b w:val="false"/>
          <w:bCs w:val="false"/>
          <w:sz w:val="24"/>
          <w:sz w:val="24"/>
          <w:szCs w:val="24"/>
          <w:u w:val="none"/>
          <w:rtl w:val="true"/>
        </w:rPr>
        <w:t>אילו האדם יבחר בכך</w:t>
      </w:r>
      <w:r>
        <w:rPr>
          <w:rFonts w:cs="David CLM"/>
          <w:b w:val="false"/>
          <w:bCs w:val="false"/>
          <w:sz w:val="24"/>
          <w:szCs w:val="24"/>
          <w:u w:val="none"/>
          <w:rtl w:val="true"/>
        </w:rPr>
        <w:t xml:space="preserve">, </w:t>
      </w:r>
      <w:r>
        <w:rPr>
          <w:rFonts w:ascii="Times New Roman" w:hAnsi="Times New Roman"/>
          <w:b w:val="false"/>
          <w:b w:val="false"/>
          <w:bCs w:val="false"/>
          <w:sz w:val="24"/>
          <w:sz w:val="24"/>
          <w:szCs w:val="24"/>
          <w:u w:val="none"/>
          <w:rtl w:val="true"/>
        </w:rPr>
        <w:t>תעלה הסגולה הטובה – הנטייה המועילה למעשים הטובים הכרוכים בעונג ובכאב</w:t>
      </w:r>
      <w:r>
        <w:rPr>
          <w:rStyle w:val="FootnoteAnchor"/>
          <w:rFonts w:ascii="Times New Roman" w:hAnsi="Times New Roman"/>
          <w:b w:val="false"/>
          <w:b w:val="false"/>
          <w:bCs w:val="false"/>
          <w:sz w:val="24"/>
          <w:sz w:val="24"/>
          <w:szCs w:val="24"/>
          <w:u w:val="none"/>
          <w:rtl w:val="true"/>
        </w:rPr>
        <w:footnoteReference w:id="14"/>
      </w:r>
      <w:r>
        <w:rPr>
          <w:rFonts w:cs="David CLM"/>
          <w:b w:val="false"/>
          <w:bCs w:val="false"/>
          <w:sz w:val="24"/>
          <w:szCs w:val="24"/>
          <w:u w:val="none"/>
          <w:rtl w:val="true"/>
        </w:rPr>
        <w:t xml:space="preserve">. </w:t>
      </w:r>
      <w:r>
        <w:rPr>
          <w:rFonts w:ascii="Times New Roman" w:hAnsi="Times New Roman"/>
          <w:b w:val="false"/>
          <w:b w:val="false"/>
          <w:bCs w:val="false"/>
          <w:sz w:val="24"/>
          <w:sz w:val="24"/>
          <w:szCs w:val="24"/>
          <w:u w:val="none"/>
          <w:rtl w:val="true"/>
        </w:rPr>
        <w:t>בעל הסגולה הטובה הוא זה אשר יבחר כיצד לפעול וכיצד לשאת את עצמו בצורה הטובה ביותר בכל עיסוקיו – לא על פי המתשוקות ומהפחדים</w:t>
      </w:r>
      <w:r>
        <w:rPr>
          <w:rFonts w:cs="David CLM"/>
          <w:b w:val="false"/>
          <w:bCs w:val="false"/>
          <w:sz w:val="24"/>
          <w:szCs w:val="24"/>
          <w:u w:val="none"/>
          <w:rtl w:val="true"/>
        </w:rPr>
        <w:t xml:space="preserve">, </w:t>
      </w:r>
      <w:r>
        <w:rPr>
          <w:rFonts w:ascii="Times New Roman" w:hAnsi="Times New Roman"/>
          <w:b w:val="false"/>
          <w:b w:val="false"/>
          <w:bCs w:val="false"/>
          <w:sz w:val="24"/>
          <w:sz w:val="24"/>
          <w:szCs w:val="24"/>
          <w:u w:val="none"/>
          <w:rtl w:val="true"/>
        </w:rPr>
        <w:t>אלא על פי מה שיפה</w:t>
      </w:r>
      <w:r>
        <w:rPr>
          <w:rStyle w:val="FootnoteAnchor"/>
          <w:rFonts w:ascii="Times New Roman" w:hAnsi="Times New Roman"/>
          <w:b w:val="false"/>
          <w:b w:val="false"/>
          <w:bCs w:val="false"/>
          <w:sz w:val="24"/>
          <w:sz w:val="24"/>
          <w:szCs w:val="24"/>
          <w:u w:val="none"/>
          <w:rtl w:val="true"/>
        </w:rPr>
        <w:footnoteReference w:id="15"/>
      </w:r>
      <w:r>
        <w:rPr>
          <w:rFonts w:cs="David CLM"/>
          <w:b w:val="false"/>
          <w:bCs w:val="false"/>
          <w:sz w:val="24"/>
          <w:szCs w:val="24"/>
          <w:u w:val="none"/>
          <w:rtl w:val="true"/>
        </w:rPr>
        <w:t xml:space="preserve">. </w:t>
      </w:r>
      <w:r>
        <w:rPr>
          <w:rFonts w:ascii="Times New Roman" w:hAnsi="Times New Roman"/>
          <w:b w:val="false"/>
          <w:b w:val="false"/>
          <w:bCs w:val="false"/>
          <w:sz w:val="24"/>
          <w:sz w:val="24"/>
          <w:szCs w:val="24"/>
          <w:u w:val="none"/>
          <w:rtl w:val="true"/>
        </w:rPr>
        <w:t>אותו היפה</w:t>
      </w:r>
      <w:r>
        <w:rPr>
          <w:rFonts w:cs="David CLM"/>
          <w:b w:val="false"/>
          <w:bCs w:val="false"/>
          <w:sz w:val="24"/>
          <w:szCs w:val="24"/>
          <w:u w:val="none"/>
          <w:rtl w:val="true"/>
        </w:rPr>
        <w:t xml:space="preserve">, </w:t>
      </w:r>
      <w:r>
        <w:rPr>
          <w:rFonts w:ascii="Times New Roman" w:hAnsi="Times New Roman"/>
          <w:b w:val="false"/>
          <w:b w:val="false"/>
          <w:bCs w:val="false"/>
          <w:sz w:val="24"/>
          <w:sz w:val="24"/>
          <w:szCs w:val="24"/>
          <w:u w:val="none"/>
          <w:rtl w:val="true"/>
        </w:rPr>
        <w:t>אפוא</w:t>
      </w:r>
      <w:r>
        <w:rPr>
          <w:rFonts w:cs="David CLM"/>
          <w:b w:val="false"/>
          <w:bCs w:val="false"/>
          <w:sz w:val="24"/>
          <w:szCs w:val="24"/>
          <w:u w:val="none"/>
          <w:rtl w:val="true"/>
        </w:rPr>
        <w:t xml:space="preserve">, </w:t>
      </w:r>
      <w:r>
        <w:rPr>
          <w:rFonts w:ascii="Times New Roman" w:hAnsi="Times New Roman"/>
          <w:b w:val="false"/>
          <w:b w:val="false"/>
          <w:bCs w:val="false"/>
          <w:sz w:val="24"/>
          <w:sz w:val="24"/>
          <w:szCs w:val="24"/>
          <w:u w:val="none"/>
          <w:rtl w:val="true"/>
        </w:rPr>
        <w:t>הוא המעשה הטוב ביותר לעבר מימוש תכליתו של האדם – אושרם של הרבים</w:t>
      </w:r>
      <w:r>
        <w:rPr>
          <w:rFonts w:cs="David CLM"/>
          <w:b w:val="false"/>
          <w:bCs w:val="false"/>
          <w:sz w:val="24"/>
          <w:szCs w:val="24"/>
          <w:u w:val="none"/>
          <w:rtl w:val="true"/>
        </w:rPr>
        <w:t>.</w:t>
      </w:r>
    </w:p>
    <w:p>
      <w:pPr>
        <w:pStyle w:val="Style13"/>
        <w:bidi w:val="1"/>
        <w:spacing w:lineRule="auto" w:line="360" w:before="0" w:after="0"/>
        <w:ind w:left="0" w:right="0" w:firstLine="58"/>
        <w:contextualSpacing/>
        <w:rPr>
          <w:rFonts w:ascii="Times New Roman" w:hAnsi="Times New Roman" w:cs="David CLM"/>
          <w:b w:val="false"/>
          <w:b w:val="false"/>
          <w:bCs w:val="false"/>
          <w:sz w:val="24"/>
          <w:szCs w:val="24"/>
          <w:u w:val="none"/>
        </w:rPr>
      </w:pPr>
      <w:r>
        <w:rPr>
          <w:rFonts w:cs="David CLM"/>
          <w:b w:val="false"/>
          <w:bCs w:val="false"/>
          <w:sz w:val="24"/>
          <w:szCs w:val="24"/>
          <w:u w:val="none"/>
          <w:rtl w:val="true"/>
        </w:rPr>
        <w:tab/>
      </w:r>
      <w:r>
        <w:rPr>
          <w:rFonts w:ascii="Times New Roman" w:hAnsi="Times New Roman"/>
          <w:b w:val="false"/>
          <w:b w:val="false"/>
          <w:bCs w:val="false"/>
          <w:sz w:val="24"/>
          <w:sz w:val="24"/>
          <w:szCs w:val="24"/>
          <w:u w:val="none"/>
          <w:rtl w:val="true"/>
        </w:rPr>
        <w:t>מצוינות אנושית שכזו הינה</w:t>
      </w:r>
      <w:r>
        <w:rPr>
          <w:rFonts w:cs="David CLM"/>
          <w:b w:val="false"/>
          <w:bCs w:val="false"/>
          <w:sz w:val="24"/>
          <w:szCs w:val="24"/>
          <w:u w:val="none"/>
          <w:rtl w:val="true"/>
        </w:rPr>
        <w:t xml:space="preserve">, </w:t>
      </w:r>
      <w:r>
        <w:rPr>
          <w:rFonts w:ascii="Times New Roman" w:hAnsi="Times New Roman"/>
          <w:b w:val="false"/>
          <w:b w:val="false"/>
          <w:bCs w:val="false"/>
          <w:sz w:val="24"/>
          <w:sz w:val="24"/>
          <w:szCs w:val="24"/>
          <w:u w:val="none"/>
          <w:rtl w:val="true"/>
        </w:rPr>
        <w:t>כמובן</w:t>
      </w:r>
      <w:r>
        <w:rPr>
          <w:rFonts w:cs="David CLM"/>
          <w:b w:val="false"/>
          <w:bCs w:val="false"/>
          <w:sz w:val="24"/>
          <w:szCs w:val="24"/>
          <w:u w:val="none"/>
          <w:rtl w:val="true"/>
        </w:rPr>
        <w:t xml:space="preserve">, </w:t>
      </w:r>
      <w:r>
        <w:rPr>
          <w:rFonts w:ascii="Times New Roman" w:hAnsi="Times New Roman"/>
          <w:b w:val="false"/>
          <w:b w:val="false"/>
          <w:bCs w:val="false"/>
          <w:sz w:val="24"/>
          <w:sz w:val="24"/>
          <w:szCs w:val="24"/>
          <w:u w:val="none"/>
          <w:rtl w:val="true"/>
        </w:rPr>
        <w:t>קשה מאוד להשגה – כפי שעולה בבירור רב מהאופן שבו מתאר אריסטו את סגולת אומץ הלב</w:t>
      </w:r>
      <w:r>
        <w:rPr>
          <w:rFonts w:cs="David CLM"/>
          <w:b w:val="false"/>
          <w:bCs w:val="false"/>
          <w:sz w:val="24"/>
          <w:szCs w:val="24"/>
          <w:u w:val="none"/>
          <w:rtl w:val="true"/>
        </w:rPr>
        <w:t xml:space="preserve">. </w:t>
      </w:r>
      <w:r>
        <w:rPr>
          <w:rFonts w:ascii="Times New Roman" w:hAnsi="Times New Roman"/>
          <w:b w:val="false"/>
          <w:b w:val="false"/>
          <w:bCs w:val="false"/>
          <w:sz w:val="24"/>
          <w:sz w:val="24"/>
          <w:szCs w:val="24"/>
          <w:u w:val="none"/>
          <w:rtl w:val="true"/>
        </w:rPr>
        <w:t>האדם האמיץ</w:t>
      </w:r>
      <w:r>
        <w:rPr>
          <w:rFonts w:cs="David CLM"/>
          <w:b w:val="false"/>
          <w:bCs w:val="false"/>
          <w:sz w:val="24"/>
          <w:szCs w:val="24"/>
          <w:u w:val="none"/>
          <w:rtl w:val="true"/>
        </w:rPr>
        <w:t xml:space="preserve">, </w:t>
      </w:r>
      <w:r>
        <w:rPr>
          <w:rFonts w:ascii="Times New Roman" w:hAnsi="Times New Roman"/>
          <w:b w:val="false"/>
          <w:b w:val="false"/>
          <w:bCs w:val="false"/>
          <w:sz w:val="24"/>
          <w:sz w:val="24"/>
          <w:szCs w:val="24"/>
          <w:u w:val="none"/>
          <w:rtl w:val="true"/>
        </w:rPr>
        <w:t>על פי אריסטו</w:t>
      </w:r>
      <w:r>
        <w:rPr>
          <w:rFonts w:cs="David CLM"/>
          <w:b w:val="false"/>
          <w:bCs w:val="false"/>
          <w:sz w:val="24"/>
          <w:szCs w:val="24"/>
          <w:u w:val="none"/>
          <w:rtl w:val="true"/>
        </w:rPr>
        <w:t xml:space="preserve">, </w:t>
      </w:r>
      <w:r>
        <w:rPr>
          <w:rFonts w:ascii="Times New Roman" w:hAnsi="Times New Roman"/>
          <w:b w:val="false"/>
          <w:b w:val="false"/>
          <w:bCs w:val="false"/>
          <w:sz w:val="24"/>
          <w:sz w:val="24"/>
          <w:szCs w:val="24"/>
          <w:u w:val="none"/>
          <w:rtl w:val="true"/>
        </w:rPr>
        <w:t>הוא זה אשר אינו מפחד ממוות יפה</w:t>
      </w:r>
      <w:r>
        <w:rPr>
          <w:rStyle w:val="FootnoteAnchor"/>
          <w:rFonts w:ascii="Times New Roman" w:hAnsi="Times New Roman"/>
          <w:b w:val="false"/>
          <w:b w:val="false"/>
          <w:bCs w:val="false"/>
          <w:sz w:val="24"/>
          <w:sz w:val="24"/>
          <w:szCs w:val="24"/>
          <w:u w:val="none"/>
          <w:rtl w:val="true"/>
        </w:rPr>
        <w:footnoteReference w:id="16"/>
      </w:r>
      <w:r>
        <w:rPr>
          <w:rFonts w:cs="David CLM"/>
          <w:b w:val="false"/>
          <w:bCs w:val="false"/>
          <w:sz w:val="24"/>
          <w:szCs w:val="24"/>
          <w:u w:val="none"/>
          <w:rtl w:val="true"/>
        </w:rPr>
        <w:t xml:space="preserve">, </w:t>
      </w:r>
      <w:r>
        <w:rPr>
          <w:rFonts w:ascii="Times New Roman" w:hAnsi="Times New Roman"/>
          <w:b w:val="false"/>
          <w:b w:val="false"/>
          <w:bCs w:val="false"/>
          <w:sz w:val="24"/>
          <w:sz w:val="24"/>
          <w:szCs w:val="24"/>
          <w:u w:val="none"/>
          <w:rtl w:val="true"/>
        </w:rPr>
        <w:t>ובוחר בו מתוך הרגש הנכון – משום שהוא מפחד מהדברים שראוי לפחד מהם</w:t>
      </w:r>
      <w:r>
        <w:rPr>
          <w:rFonts w:cs="David CLM"/>
          <w:b w:val="false"/>
          <w:bCs w:val="false"/>
          <w:sz w:val="24"/>
          <w:szCs w:val="24"/>
          <w:u w:val="none"/>
          <w:rtl w:val="true"/>
        </w:rPr>
        <w:t xml:space="preserve">, </w:t>
      </w:r>
      <w:r>
        <w:rPr>
          <w:rFonts w:ascii="Times New Roman" w:hAnsi="Times New Roman"/>
          <w:b w:val="false"/>
          <w:b w:val="false"/>
          <w:bCs w:val="false"/>
          <w:sz w:val="24"/>
          <w:sz w:val="24"/>
          <w:szCs w:val="24"/>
          <w:u w:val="none"/>
          <w:rtl w:val="true"/>
        </w:rPr>
        <w:t>ואינו מפחד ממה שלא ראוי לפחד ממנו</w:t>
      </w:r>
      <w:r>
        <w:rPr>
          <w:rStyle w:val="FootnoteAnchor"/>
          <w:rFonts w:ascii="Times New Roman" w:hAnsi="Times New Roman"/>
          <w:b w:val="false"/>
          <w:b w:val="false"/>
          <w:bCs w:val="false"/>
          <w:sz w:val="24"/>
          <w:sz w:val="24"/>
          <w:szCs w:val="24"/>
          <w:u w:val="none"/>
          <w:rtl w:val="true"/>
        </w:rPr>
        <w:footnoteReference w:id="17"/>
      </w:r>
      <w:r>
        <w:rPr>
          <w:rFonts w:cs="David CLM"/>
          <w:b w:val="false"/>
          <w:bCs w:val="false"/>
          <w:sz w:val="24"/>
          <w:szCs w:val="24"/>
          <w:u w:val="none"/>
          <w:rtl w:val="true"/>
        </w:rPr>
        <w:t xml:space="preserve">. </w:t>
      </w:r>
      <w:r>
        <w:rPr>
          <w:rFonts w:ascii="Times New Roman" w:hAnsi="Times New Roman"/>
          <w:b w:val="false"/>
          <w:b w:val="false"/>
          <w:bCs w:val="false"/>
          <w:sz w:val="24"/>
          <w:sz w:val="24"/>
          <w:szCs w:val="24"/>
          <w:u w:val="none"/>
          <w:rtl w:val="true"/>
        </w:rPr>
        <w:t>לא בכדי מתאר אריסטו את האומץ כמוות בקרב</w:t>
      </w:r>
      <w:r>
        <w:rPr>
          <w:rFonts w:cs="David CLM"/>
          <w:b w:val="false"/>
          <w:bCs w:val="false"/>
          <w:sz w:val="24"/>
          <w:szCs w:val="24"/>
          <w:u w:val="none"/>
          <w:rtl w:val="true"/>
        </w:rPr>
        <w:t xml:space="preserve">: </w:t>
      </w:r>
      <w:r>
        <w:rPr>
          <w:rFonts w:ascii="Times New Roman" w:hAnsi="Times New Roman"/>
          <w:b w:val="false"/>
          <w:b w:val="false"/>
          <w:bCs w:val="false"/>
          <w:sz w:val="24"/>
          <w:sz w:val="24"/>
          <w:szCs w:val="24"/>
          <w:u w:val="none"/>
          <w:rtl w:val="true"/>
        </w:rPr>
        <w:t>האדם האמיץ המקריב את חייו עומד איתן מול המוות</w:t>
      </w:r>
      <w:r>
        <w:rPr>
          <w:rFonts w:cs="David CLM"/>
          <w:b w:val="false"/>
          <w:bCs w:val="false"/>
          <w:sz w:val="24"/>
          <w:szCs w:val="24"/>
          <w:u w:val="none"/>
          <w:rtl w:val="true"/>
        </w:rPr>
        <w:t xml:space="preserve">, </w:t>
      </w:r>
      <w:r>
        <w:rPr>
          <w:rFonts w:ascii="Times New Roman" w:hAnsi="Times New Roman"/>
          <w:b w:val="false"/>
          <w:b w:val="false"/>
          <w:bCs w:val="false"/>
          <w:sz w:val="24"/>
          <w:sz w:val="24"/>
          <w:szCs w:val="24"/>
          <w:u w:val="none"/>
          <w:rtl w:val="true"/>
        </w:rPr>
        <w:t>הדבר המבעית ביותר</w:t>
      </w:r>
      <w:r>
        <w:rPr>
          <w:rFonts w:cs="David CLM"/>
          <w:b w:val="false"/>
          <w:bCs w:val="false"/>
          <w:sz w:val="24"/>
          <w:szCs w:val="24"/>
          <w:u w:val="none"/>
          <w:rtl w:val="true"/>
        </w:rPr>
        <w:t xml:space="preserve">, </w:t>
      </w:r>
      <w:r>
        <w:rPr>
          <w:rFonts w:ascii="Times New Roman" w:hAnsi="Times New Roman"/>
          <w:b w:val="false"/>
          <w:b w:val="false"/>
          <w:bCs w:val="false"/>
          <w:sz w:val="24"/>
          <w:sz w:val="24"/>
          <w:szCs w:val="24"/>
          <w:u w:val="none"/>
          <w:rtl w:val="true"/>
        </w:rPr>
        <w:t>משום שהוא בוחר בו – בחופשי מפחדיו ומתשוקותיו – בכדי לממש את אושרם של הרבים</w:t>
      </w:r>
      <w:r>
        <w:rPr>
          <w:rFonts w:cs="David CLM"/>
          <w:b w:val="false"/>
          <w:bCs w:val="false"/>
          <w:sz w:val="24"/>
          <w:szCs w:val="24"/>
          <w:u w:val="none"/>
          <w:rtl w:val="true"/>
        </w:rPr>
        <w:t>.</w:t>
      </w:r>
    </w:p>
    <w:p>
      <w:pPr>
        <w:pStyle w:val="Style13"/>
        <w:rPr>
          <w:i w:val="false"/>
          <w:i w:val="false"/>
          <w:iCs w:val="false"/>
        </w:rPr>
      </w:pPr>
      <w:r>
        <w:rPr>
          <w:i w:val="false"/>
          <w:iCs w:val="false"/>
          <w:rtl w:val="true"/>
        </w:rPr>
      </w:r>
    </w:p>
    <w:p>
      <w:pPr>
        <w:pStyle w:val="Style13"/>
        <w:rPr>
          <w:i w:val="false"/>
          <w:i w:val="false"/>
          <w:iCs w:val="false"/>
        </w:rPr>
      </w:pPr>
      <w:r>
        <w:rPr>
          <w:i w:val="false"/>
          <w:iCs w:val="false"/>
          <w:rtl w:val="true"/>
        </w:rPr>
      </w:r>
    </w:p>
    <w:p>
      <w:pPr>
        <w:pStyle w:val="Style13"/>
        <w:rPr>
          <w:i w:val="false"/>
          <w:i w:val="false"/>
          <w:iCs w:val="false"/>
        </w:rPr>
      </w:pPr>
      <w:r>
        <w:rPr>
          <w:i w:val="false"/>
          <w:iCs w:val="false"/>
          <w:rtl w:val="true"/>
        </w:rPr>
      </w:r>
    </w:p>
    <w:p>
      <w:pPr>
        <w:pStyle w:val="Style13"/>
        <w:rPr>
          <w:i w:val="false"/>
          <w:i w:val="false"/>
          <w:iCs w:val="false"/>
        </w:rPr>
      </w:pPr>
      <w:r>
        <w:rPr>
          <w:i w:val="false"/>
          <w:iCs w:val="false"/>
          <w:rtl w:val="true"/>
        </w:rPr>
      </w:r>
    </w:p>
    <w:p>
      <w:pPr>
        <w:pStyle w:val="Style13"/>
        <w:rPr>
          <w:i w:val="false"/>
          <w:i w:val="false"/>
          <w:iCs w:val="false"/>
        </w:rPr>
      </w:pPr>
      <w:r>
        <w:rPr>
          <w:i w:val="false"/>
          <w:iCs w:val="false"/>
          <w:rtl w:val="true"/>
        </w:rPr>
      </w:r>
    </w:p>
    <w:p>
      <w:pPr>
        <w:pStyle w:val="Style13"/>
        <w:rPr>
          <w:i w:val="false"/>
          <w:i w:val="false"/>
          <w:iCs w:val="false"/>
        </w:rPr>
      </w:pPr>
      <w:r>
        <w:rPr>
          <w:i w:val="false"/>
          <w:iCs w:val="false"/>
          <w:rtl w:val="true"/>
        </w:rPr>
      </w:r>
    </w:p>
    <w:p>
      <w:pPr>
        <w:pStyle w:val="Style13"/>
        <w:rPr>
          <w:i w:val="false"/>
          <w:i w:val="false"/>
          <w:iCs w:val="false"/>
        </w:rPr>
      </w:pPr>
      <w:r>
        <w:rPr>
          <w:i w:val="false"/>
          <w:iCs w:val="false"/>
          <w:rtl w:val="true"/>
        </w:rPr>
      </w:r>
    </w:p>
    <w:p>
      <w:pPr>
        <w:pStyle w:val="Style13"/>
        <w:rPr>
          <w:i w:val="false"/>
          <w:i w:val="false"/>
          <w:iCs w:val="false"/>
        </w:rPr>
      </w:pPr>
      <w:r>
        <w:rPr>
          <w:i w:val="false"/>
          <w:iCs w:val="false"/>
          <w:rtl w:val="true"/>
        </w:rPr>
      </w:r>
    </w:p>
    <w:p>
      <w:pPr>
        <w:pStyle w:val="Style13"/>
        <w:rPr>
          <w:i w:val="false"/>
          <w:i w:val="false"/>
          <w:iCs w:val="false"/>
        </w:rPr>
      </w:pPr>
      <w:r>
        <w:rPr>
          <w:i w:val="false"/>
          <w:iCs w:val="false"/>
          <w:rtl w:val="true"/>
        </w:rPr>
      </w:r>
    </w:p>
    <w:p>
      <w:pPr>
        <w:pStyle w:val="Style13"/>
        <w:rPr>
          <w:i w:val="false"/>
          <w:i w:val="false"/>
          <w:iCs w:val="false"/>
        </w:rPr>
      </w:pPr>
      <w:r>
        <w:rPr>
          <w:i w:val="false"/>
          <w:iCs w:val="false"/>
          <w:rtl w:val="true"/>
        </w:rPr>
      </w:r>
    </w:p>
    <w:p>
      <w:pPr>
        <w:pStyle w:val="Style13"/>
        <w:rPr>
          <w:i w:val="false"/>
          <w:i w:val="false"/>
          <w:iCs w:val="false"/>
        </w:rPr>
      </w:pPr>
      <w:r>
        <w:rPr>
          <w:i w:val="false"/>
          <w:iCs w:val="false"/>
          <w:rtl w:val="true"/>
        </w:rPr>
      </w:r>
    </w:p>
    <w:p>
      <w:pPr>
        <w:pStyle w:val="Style13"/>
        <w:rPr>
          <w:i w:val="false"/>
          <w:i w:val="false"/>
          <w:iCs w:val="false"/>
        </w:rPr>
      </w:pPr>
      <w:r>
        <w:rPr>
          <w:i w:val="false"/>
          <w:iCs w:val="false"/>
          <w:rtl w:val="true"/>
        </w:rPr>
      </w:r>
    </w:p>
    <w:p>
      <w:pPr>
        <w:pStyle w:val="Style13"/>
        <w:rPr>
          <w:i w:val="false"/>
          <w:i w:val="false"/>
          <w:iCs w:val="false"/>
        </w:rPr>
      </w:pPr>
      <w:r>
        <w:rPr>
          <w:i w:val="false"/>
          <w:iCs w:val="false"/>
          <w:rtl w:val="true"/>
        </w:rPr>
      </w:r>
    </w:p>
    <w:p>
      <w:pPr>
        <w:pStyle w:val="Style13"/>
        <w:rPr>
          <w:i w:val="false"/>
          <w:i w:val="false"/>
          <w:iCs w:val="false"/>
        </w:rPr>
      </w:pPr>
      <w:r>
        <w:rPr>
          <w:i w:val="false"/>
          <w:iCs w:val="false"/>
          <w:rtl w:val="true"/>
        </w:rPr>
      </w:r>
    </w:p>
    <w:p>
      <w:pPr>
        <w:pStyle w:val="Style13"/>
        <w:rPr>
          <w:i w:val="false"/>
          <w:i w:val="false"/>
          <w:iCs w:val="false"/>
        </w:rPr>
      </w:pPr>
      <w:r>
        <w:rPr>
          <w:i w:val="false"/>
          <w:iCs w:val="false"/>
          <w:rtl w:val="true"/>
        </w:rPr>
      </w:r>
    </w:p>
    <w:p>
      <w:pPr>
        <w:pStyle w:val="Style13"/>
        <w:rPr>
          <w:i w:val="false"/>
          <w:i w:val="false"/>
          <w:iCs w:val="false"/>
        </w:rPr>
      </w:pPr>
      <w:r>
        <w:rPr>
          <w:i w:val="false"/>
          <w:iCs w:val="false"/>
          <w:rtl w:val="true"/>
        </w:rPr>
      </w:r>
    </w:p>
    <w:p>
      <w:pPr>
        <w:pStyle w:val="Style13"/>
        <w:rPr>
          <w:i w:val="false"/>
          <w:i w:val="false"/>
          <w:iCs w:val="false"/>
          <w:vertAlign w:val="subscript"/>
        </w:rPr>
      </w:pPr>
      <w:r>
        <w:rPr>
          <w:i w:val="false"/>
          <w:iCs w:val="false"/>
          <w:vertAlign w:val="subscript"/>
          <w:rtl w:val="true"/>
        </w:rPr>
      </w:r>
    </w:p>
    <w:p>
      <w:pPr>
        <w:pStyle w:val="Normal"/>
        <w:bidi w:val="0"/>
        <w:spacing w:lineRule="auto" w:line="360"/>
        <w:jc w:val="center"/>
        <w:rPr>
          <w:rFonts w:cs="David CLM"/>
          <w:b/>
          <w:b/>
          <w:bCs/>
          <w:u w:val="single"/>
        </w:rPr>
      </w:pPr>
      <w:r>
        <w:rPr>
          <w:rFonts w:cs="David CLM"/>
          <w:b/>
          <w:b/>
          <w:bCs/>
          <w:u w:val="single"/>
          <w:rtl w:val="true"/>
        </w:rPr>
        <w:t>ביבליוגרפיה</w:t>
      </w:r>
    </w:p>
    <w:p>
      <w:pPr>
        <w:pStyle w:val="Normal"/>
        <w:bidi w:val="0"/>
        <w:spacing w:lineRule="auto" w:line="360"/>
        <w:jc w:val="center"/>
        <w:rPr>
          <w:rFonts w:cs="David CLM"/>
          <w:u w:val="none"/>
        </w:rPr>
      </w:pPr>
      <w:r>
        <w:rPr>
          <w:rFonts w:cs="David CLM"/>
          <w:u w:val="none"/>
          <w:rtl w:val="true"/>
        </w:rPr>
        <w:t>ליבס</w:t>
      </w:r>
      <w:r>
        <w:rPr>
          <w:rFonts w:cs="David CLM"/>
          <w:u w:val="none"/>
          <w:rtl w:val="true"/>
        </w:rPr>
        <w:t xml:space="preserve">, </w:t>
      </w:r>
      <w:r>
        <w:rPr>
          <w:rFonts w:cs="David CLM"/>
          <w:u w:val="none"/>
          <w:rtl w:val="true"/>
        </w:rPr>
        <w:t>יוסף</w:t>
      </w:r>
      <w:r>
        <w:rPr>
          <w:rFonts w:cs="David CLM"/>
          <w:u w:val="none"/>
          <w:rtl w:val="true"/>
        </w:rPr>
        <w:t xml:space="preserve">. </w:t>
      </w:r>
      <w:r>
        <w:rPr>
          <w:rFonts w:cs="David CLM"/>
          <w:u w:val="none"/>
          <w:rtl w:val="true"/>
        </w:rPr>
        <w:t>אתיקה – מהדורת ניקומאכוס</w:t>
      </w:r>
      <w:r>
        <w:rPr>
          <w:rFonts w:cs="David CLM"/>
          <w:u w:val="none"/>
          <w:rtl w:val="true"/>
        </w:rPr>
        <w:t xml:space="preserve">. </w:t>
      </w:r>
      <w:r>
        <w:rPr>
          <w:rFonts w:cs="David CLM"/>
          <w:u w:val="none"/>
          <w:rtl w:val="true"/>
        </w:rPr>
        <w:t>תרגם יוסף ליבס</w:t>
      </w:r>
      <w:r>
        <w:rPr>
          <w:rFonts w:cs="David CLM"/>
          <w:u w:val="none"/>
          <w:rtl w:val="true"/>
        </w:rPr>
        <w:t xml:space="preserve">. </w:t>
      </w:r>
      <w:r>
        <w:rPr>
          <w:rFonts w:cs="David CLM"/>
          <w:u w:val="none"/>
          <w:rtl w:val="true"/>
        </w:rPr>
        <w:t>ירושלים</w:t>
      </w:r>
      <w:r>
        <w:rPr>
          <w:rFonts w:cs="David CLM"/>
          <w:u w:val="none"/>
          <w:rtl w:val="true"/>
        </w:rPr>
        <w:t xml:space="preserve">: </w:t>
      </w:r>
      <w:r>
        <w:rPr>
          <w:rFonts w:cs="David CLM"/>
          <w:u w:val="none"/>
          <w:rtl w:val="true"/>
        </w:rPr>
        <w:t>הוצאת שוקן</w:t>
      </w:r>
      <w:r>
        <w:rPr>
          <w:rFonts w:cs="David CLM"/>
          <w:u w:val="none"/>
          <w:rtl w:val="true"/>
        </w:rPr>
        <w:t xml:space="preserve">, </w:t>
      </w:r>
      <w:r>
        <w:rPr>
          <w:rFonts w:cs="David CLM"/>
          <w:u w:val="none"/>
          <w:rtl w:val="true"/>
        </w:rPr>
        <w:t>תשמ</w:t>
      </w:r>
      <w:r>
        <w:rPr>
          <w:rFonts w:cs="David CLM"/>
          <w:u w:val="none"/>
          <w:rtl w:val="true"/>
        </w:rPr>
        <w:t>"</w:t>
      </w:r>
      <w:r>
        <w:rPr>
          <w:rFonts w:cs="David CLM"/>
          <w:u w:val="none"/>
          <w:rtl w:val="true"/>
        </w:rPr>
        <w:t xml:space="preserve">ה </w:t>
      </w:r>
      <w:r>
        <w:rPr>
          <w:rFonts w:cs="David CLM"/>
          <w:u w:val="none"/>
        </w:rPr>
        <w:t>1985</w:t>
      </w:r>
    </w:p>
    <w:p>
      <w:pPr>
        <w:pStyle w:val="Normal"/>
        <w:bidi w:val="0"/>
        <w:spacing w:lineRule="auto" w:line="360"/>
        <w:jc w:val="center"/>
        <w:rPr>
          <w:rFonts w:ascii="Times New Roman" w:hAnsi="Times New Roman"/>
        </w:rPr>
      </w:pPr>
      <w:r>
        <w:rPr>
          <w:rFonts w:ascii="Times New Roman" w:hAnsi="Times New Roman"/>
        </w:rPr>
        <w:t>Sachs, Joe. Aristotle's Nicomachean Ethics. Translated by Joe Sachs. Newberryport: Focus Publishing, 2002</w:t>
      </w:r>
    </w:p>
    <w:p>
      <w:pPr>
        <w:pStyle w:val="Normal"/>
        <w:bidi w:val="0"/>
        <w:spacing w:lineRule="auto" w:line="360"/>
        <w:jc w:val="center"/>
        <w:rPr>
          <w:rFonts w:ascii="Times New Roman" w:hAnsi="Times New Roman"/>
        </w:rPr>
      </w:pPr>
      <w:r>
        <w:rPr>
          <w:rFonts w:ascii="Times New Roman" w:hAnsi="Times New Roman"/>
        </w:rPr>
        <w:t xml:space="preserve">Sachs, Joe. Aristotle's Physics: A Guided Study. Translated by Joe Sachs . New Brunswick: ‎ Rutgers </w:t>
      </w:r>
      <w:r>
        <w:rPr>
          <w:rFonts w:ascii="Times New Roman" w:hAnsi="Times New Roman"/>
          <w:i w:val="false"/>
          <w:iCs w:val="false"/>
          <w:sz w:val="24"/>
          <w:szCs w:val="24"/>
        </w:rPr>
        <w:t xml:space="preserve">University Press,  </w:t>
      </w:r>
      <w:r>
        <w:rPr>
          <w:rFonts w:ascii="Times New Roman" w:hAnsi="Times New Roman"/>
          <w:i w:val="false"/>
          <w:iCs w:val="false"/>
          <w:sz w:val="24"/>
          <w:szCs w:val="24"/>
        </w:rPr>
        <w:t>1995</w:t>
      </w:r>
    </w:p>
    <w:p>
      <w:pPr>
        <w:pStyle w:val="Style13"/>
        <w:spacing w:lineRule="auto" w:line="360"/>
        <w:jc w:val="center"/>
        <w:rPr>
          <w:i w:val="false"/>
          <w:i w:val="false"/>
          <w:iCs w:val="false"/>
        </w:rPr>
      </w:pPr>
      <w:r>
        <w:rPr>
          <w:i w:val="false"/>
          <w:iCs w:val="false"/>
          <w:rtl w:val="true"/>
        </w:rPr>
      </w:r>
    </w:p>
    <w:p>
      <w:pPr>
        <w:pStyle w:val="Style13"/>
        <w:rPr>
          <w:i w:val="false"/>
          <w:i w:val="false"/>
          <w:iCs w:val="false"/>
        </w:rPr>
      </w:pPr>
      <w:r>
        <w:rPr>
          <w:i w:val="false"/>
          <w:iCs w:val="false"/>
          <w:rtl w:val="true"/>
        </w:rPr>
      </w:r>
    </w:p>
    <w:p>
      <w:pPr>
        <w:pStyle w:val="Style13"/>
        <w:rPr>
          <w:i w:val="false"/>
          <w:i w:val="false"/>
          <w:iCs w:val="false"/>
        </w:rPr>
      </w:pPr>
      <w:r>
        <w:rPr>
          <w:i w:val="false"/>
          <w:iCs w:val="false"/>
          <w:rtl w:val="true"/>
        </w:rPr>
      </w:r>
    </w:p>
    <w:p>
      <w:pPr>
        <w:pStyle w:val="Style13"/>
        <w:rPr>
          <w:i w:val="false"/>
          <w:i w:val="false"/>
          <w:iCs w:val="false"/>
        </w:rPr>
      </w:pPr>
      <w:r>
        <w:rPr>
          <w:i w:val="false"/>
          <w:iCs w:val="false"/>
          <w:rtl w:val="true"/>
        </w:rPr>
      </w:r>
    </w:p>
    <w:p>
      <w:pPr>
        <w:pStyle w:val="Style13"/>
        <w:rPr>
          <w:i w:val="false"/>
          <w:i w:val="false"/>
          <w:iCs w:val="false"/>
        </w:rPr>
      </w:pPr>
      <w:r>
        <w:rPr>
          <w:i w:val="false"/>
          <w:iCs w:val="false"/>
          <w:rtl w:val="true"/>
        </w:rPr>
      </w:r>
    </w:p>
    <w:p>
      <w:pPr>
        <w:pStyle w:val="Style13"/>
        <w:rPr>
          <w:b/>
          <w:b/>
          <w:bCs/>
          <w:i w:val="false"/>
          <w:i w:val="false"/>
          <w:iCs w:val="false"/>
        </w:rPr>
      </w:pPr>
      <w:r>
        <w:rPr>
          <w:b/>
          <w:bCs/>
          <w:i w:val="false"/>
          <w:iCs w:val="false"/>
          <w:rtl w:val="true"/>
        </w:rPr>
      </w:r>
    </w:p>
    <w:p>
      <w:pPr>
        <w:pStyle w:val="Style13"/>
        <w:rPr>
          <w:b/>
          <w:b/>
          <w:bCs/>
          <w:i w:val="false"/>
          <w:i w:val="false"/>
          <w:iCs w:val="false"/>
        </w:rPr>
      </w:pPr>
      <w:r>
        <w:rPr>
          <w:b/>
          <w:bCs/>
          <w:i w:val="false"/>
          <w:iCs w:val="false"/>
          <w:rtl w:val="true"/>
        </w:rPr>
      </w:r>
    </w:p>
    <w:p>
      <w:pPr>
        <w:pStyle w:val="Style13"/>
        <w:rPr>
          <w:b/>
          <w:b/>
          <w:bCs/>
          <w:i w:val="false"/>
          <w:i w:val="false"/>
          <w:iCs w:val="false"/>
        </w:rPr>
      </w:pPr>
      <w:r>
        <w:rPr>
          <w:b/>
          <w:bCs/>
          <w:i w:val="false"/>
          <w:iCs w:val="false"/>
          <w:rtl w:val="true"/>
        </w:rPr>
      </w:r>
    </w:p>
    <w:sectPr>
      <w:footnotePr>
        <w:numFmt w:val="decimal"/>
      </w:footnotePr>
      <w:type w:val="nextPage"/>
      <w:pgSz w:w="11906" w:h="16838"/>
      <w:pgMar w:left="1134" w:right="1134" w:gutter="0" w:header="0" w:top="1134" w:footer="0" w:bottom="1134"/>
      <w:pgNumType w:fmt="decimal"/>
      <w:formProt w:val="false"/>
      <w:textDirection w:val="lrTb"/>
      <w:docGrid w:type="default" w:linePitch="600" w:charSpace="32768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Liberation Serif">
    <w:altName w:val="Times New Roman"/>
    <w:charset w:val="01"/>
    <w:family w:val="swiss"/>
    <w:pitch w:val="variable"/>
  </w:font>
  <w:font w:name="Calibri">
    <w:charset w:val="01"/>
    <w:family w:val="swiss"/>
    <w:pitch w:val="variable"/>
  </w:font>
  <w:font w:name="Liberation Sans">
    <w:altName w:val="Arial"/>
    <w:charset w:val="01"/>
    <w:family w:val="swiss"/>
    <w:pitch w:val="variable"/>
  </w:font>
  <w:font w:name="Times New Roman">
    <w:charset w:val="01"/>
    <w:family w:val="roman"/>
    <w:pitch w:val="variable"/>
  </w:font>
</w:fonts>
</file>

<file path=word/footnotes.xml><?xml version="1.0" encoding="utf-8"?>
<w:footnotes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footnote w:id="0" w:type="separator">
    <w:p>
      <w:pPr>
        <w:rPr>
          <w:sz w:val="12"/>
        </w:rPr>
      </w:pPr>
      <w:r>
        <w:separator/>
      </w:r>
    </w:p>
  </w:footnote>
  <w:footnote w:id="1" w:type="continuationSeparator">
    <w:p>
      <w:pPr>
        <w:rPr>
          <w:sz w:val="12"/>
        </w:rPr>
      </w:pPr>
      <w:r>
        <w:continuationSeparator/>
      </w:r>
    </w:p>
  </w:footnote>
  <w:footnote w:id="2">
    <w:p>
      <w:pPr>
        <w:pStyle w:val="Footnote"/>
        <w:bidi w:val="1"/>
        <w:jc w:val="left"/>
        <w:rPr/>
      </w:pPr>
      <w:r>
        <w:rPr>
          <w:rStyle w:val="FootnoteCharacters"/>
        </w:rPr>
        <w:footnoteRef/>
      </w:r>
      <w:r>
        <w:rPr>
          <w:rtl w:val="true"/>
        </w:rPr>
        <w:tab/>
        <w:t>אריסטו</w:t>
      </w:r>
      <w:r>
        <w:rPr>
          <w:rtl w:val="true"/>
        </w:rPr>
        <w:t>, “</w:t>
      </w:r>
      <w:r>
        <w:rPr>
          <w:rtl w:val="true"/>
        </w:rPr>
        <w:t>אתיקה ניקומאכית</w:t>
      </w:r>
      <w:r>
        <w:rPr>
          <w:rtl w:val="true"/>
        </w:rPr>
        <w:t xml:space="preserve">" – </w:t>
      </w:r>
      <w:r>
        <w:rPr>
          <w:rtl w:val="true"/>
        </w:rPr>
        <w:t>ספר א’</w:t>
      </w:r>
      <w:r>
        <w:rPr>
          <w:rtl w:val="true"/>
        </w:rPr>
        <w:t xml:space="preserve">. </w:t>
      </w:r>
      <w:r>
        <w:rPr>
          <w:rtl w:val="true"/>
        </w:rPr>
        <w:t xml:space="preserve">בתוך </w:t>
      </w:r>
      <w:r>
        <w:rPr>
          <w:i/>
          <w:i/>
          <w:iCs/>
          <w:rtl w:val="true"/>
        </w:rPr>
        <w:t>אתיקה – מהדורת ניקואכוס</w:t>
      </w:r>
      <w:r>
        <w:rPr>
          <w:i w:val="false"/>
          <w:iCs w:val="false"/>
          <w:rtl w:val="true"/>
        </w:rPr>
        <w:t xml:space="preserve">. </w:t>
      </w:r>
      <w:r>
        <w:rPr>
          <w:i w:val="false"/>
          <w:i w:val="false"/>
          <w:iCs w:val="false"/>
          <w:rtl w:val="true"/>
        </w:rPr>
        <w:t xml:space="preserve">תרגם יוסף ליבס </w:t>
      </w:r>
      <w:r>
        <w:rPr>
          <w:i w:val="false"/>
          <w:iCs w:val="false"/>
          <w:rtl w:val="true"/>
        </w:rPr>
        <w:t>(</w:t>
      </w:r>
      <w:r>
        <w:rPr>
          <w:i w:val="false"/>
          <w:i w:val="false"/>
          <w:iCs w:val="false"/>
          <w:rtl w:val="true"/>
        </w:rPr>
        <w:t>ירושלים</w:t>
      </w:r>
      <w:r>
        <w:rPr>
          <w:i w:val="false"/>
          <w:iCs w:val="false"/>
          <w:rtl w:val="true"/>
        </w:rPr>
        <w:t xml:space="preserve">: </w:t>
      </w:r>
      <w:r>
        <w:rPr>
          <w:i w:val="false"/>
          <w:i w:val="false"/>
          <w:iCs w:val="false"/>
          <w:rtl w:val="true"/>
        </w:rPr>
        <w:t>הצואת שוקן</w:t>
      </w:r>
      <w:r>
        <w:rPr>
          <w:i w:val="false"/>
          <w:iCs w:val="false"/>
          <w:rtl w:val="true"/>
        </w:rPr>
        <w:t xml:space="preserve">,  </w:t>
      </w:r>
      <w:r>
        <w:rPr>
          <w:i w:val="false"/>
          <w:i w:val="false"/>
          <w:iCs w:val="false"/>
          <w:rtl w:val="true"/>
        </w:rPr>
        <w:t>תשמ</w:t>
      </w:r>
      <w:r>
        <w:rPr>
          <w:i w:val="false"/>
          <w:iCs w:val="false"/>
          <w:rtl w:val="true"/>
        </w:rPr>
        <w:t>"</w:t>
      </w:r>
      <w:r>
        <w:rPr>
          <w:i w:val="false"/>
          <w:i w:val="false"/>
          <w:iCs w:val="false"/>
          <w:rtl w:val="true"/>
        </w:rPr>
        <w:t xml:space="preserve">ה </w:t>
      </w:r>
      <w:r>
        <w:rPr>
          <w:i w:val="false"/>
          <w:iCs w:val="false"/>
        </w:rPr>
        <w:t>1985</w:t>
      </w:r>
      <w:r>
        <w:rPr>
          <w:i w:val="false"/>
          <w:iCs w:val="false"/>
          <w:rtl w:val="true"/>
        </w:rPr>
        <w:t xml:space="preserve">), </w:t>
      </w:r>
      <w:r>
        <w:rPr>
          <w:i w:val="false"/>
          <w:i w:val="false"/>
          <w:iCs w:val="false"/>
          <w:rtl w:val="true"/>
        </w:rPr>
        <w:t>עמ</w:t>
      </w:r>
      <w:r>
        <w:rPr>
          <w:i w:val="false"/>
          <w:iCs w:val="false"/>
          <w:rtl w:val="true"/>
        </w:rPr>
        <w:t xml:space="preserve">' </w:t>
      </w:r>
      <w:r>
        <w:rPr>
          <w:i w:val="false"/>
          <w:iCs w:val="false"/>
        </w:rPr>
        <w:t>15</w:t>
      </w:r>
      <w:r>
        <w:rPr>
          <w:i w:val="false"/>
          <w:iCs w:val="false"/>
          <w:rtl w:val="true"/>
        </w:rPr>
        <w:t xml:space="preserve">,  </w:t>
      </w:r>
      <w:r>
        <w:rPr>
          <w:i w:val="false"/>
          <w:i w:val="false"/>
          <w:iCs w:val="false"/>
          <w:rtl w:val="true"/>
        </w:rPr>
        <w:t>פס</w:t>
      </w:r>
      <w:r>
        <w:rPr>
          <w:i w:val="false"/>
          <w:iCs w:val="false"/>
          <w:rtl w:val="true"/>
        </w:rPr>
        <w:t xml:space="preserve">' </w:t>
      </w:r>
      <w:r>
        <w:rPr>
          <w:i w:val="false"/>
          <w:iCs w:val="false"/>
        </w:rPr>
        <w:t>1094</w:t>
      </w:r>
    </w:p>
  </w:footnote>
  <w:footnote w:id="3">
    <w:p>
      <w:pPr>
        <w:pStyle w:val="Footnote"/>
        <w:bidi w:val="0"/>
        <w:jc w:val="left"/>
        <w:rPr/>
      </w:pPr>
      <w:r>
        <w:rPr>
          <w:rStyle w:val="FootnoteCharacters"/>
        </w:rPr>
        <w:footnoteRef/>
      </w:r>
      <w:r>
        <w:rPr/>
        <w:tab/>
        <w:t xml:space="preserve">Aristotle, “Nicomachean Ethics”, </w:t>
      </w:r>
      <w:r>
        <w:rPr/>
        <w:t xml:space="preserve">Book II. </w:t>
      </w:r>
      <w:r>
        <w:rPr/>
        <w:t>In</w:t>
      </w:r>
      <w:r>
        <w:rPr>
          <w:i/>
          <w:iCs/>
        </w:rPr>
        <w:t xml:space="preserve"> </w:t>
      </w:r>
      <w:bookmarkStart w:id="0" w:name="title"/>
      <w:bookmarkStart w:id="1" w:name="productTitle"/>
      <w:bookmarkEnd w:id="0"/>
      <w:bookmarkEnd w:id="1"/>
      <w:r>
        <w:rPr>
          <w:i/>
          <w:iCs/>
        </w:rPr>
        <w:t>Aristotle's Nicomachean Ethics</w:t>
      </w:r>
      <w:r>
        <w:rPr>
          <w:i w:val="false"/>
          <w:iCs w:val="false"/>
        </w:rPr>
        <w:t>. Tr. Joe Sachs (Newberryport: Focus Publishing, 2002),</w:t>
      </w:r>
      <w:r>
        <w:rPr>
          <w:i/>
          <w:iCs/>
        </w:rPr>
        <w:t xml:space="preserve"> </w:t>
      </w:r>
      <w:r>
        <w:rPr>
          <w:i w:val="false"/>
          <w:iCs w:val="false"/>
        </w:rPr>
        <w:t xml:space="preserve">p. </w:t>
      </w:r>
      <w:r>
        <w:rPr>
          <w:i w:val="false"/>
          <w:iCs w:val="false"/>
        </w:rPr>
        <w:t>21, para.</w:t>
      </w:r>
      <w:r>
        <w:rPr/>
        <w:t xml:space="preserve"> 1103b30</w:t>
      </w:r>
    </w:p>
  </w:footnote>
  <w:footnote w:id="4">
    <w:p>
      <w:pPr>
        <w:pStyle w:val="Footnote"/>
        <w:bidi w:val="0"/>
        <w:jc w:val="left"/>
        <w:rPr/>
      </w:pPr>
      <w:r>
        <w:rPr>
          <w:rStyle w:val="FootnoteCharacters"/>
        </w:rPr>
        <w:footnoteRef/>
      </w:r>
      <w:r>
        <w:rPr/>
        <w:tab/>
        <w:t>Aristotle, “</w:t>
      </w:r>
      <w:r>
        <w:rPr/>
        <w:t xml:space="preserve">Physics”, Book 2. </w:t>
      </w:r>
      <w:r>
        <w:rPr/>
        <w:t>In</w:t>
      </w:r>
      <w:r>
        <w:rPr>
          <w:i/>
          <w:iCs/>
        </w:rPr>
        <w:t xml:space="preserve"> </w:t>
      </w:r>
      <w:bookmarkStart w:id="2" w:name="title1"/>
      <w:bookmarkStart w:id="3" w:name="productTitle1"/>
      <w:bookmarkEnd w:id="2"/>
      <w:bookmarkEnd w:id="3"/>
      <w:r>
        <w:rPr>
          <w:i/>
          <w:iCs/>
        </w:rPr>
        <w:t>Aristotle's Physics: A Guided Study</w:t>
      </w:r>
      <w:r>
        <w:rPr>
          <w:i w:val="false"/>
          <w:iCs w:val="false"/>
        </w:rPr>
        <w:t xml:space="preserve">. Tr. Joe Sachs (New </w:t>
      </w:r>
      <w:r>
        <w:rPr>
          <w:i w:val="false"/>
          <w:iCs w:val="false"/>
        </w:rPr>
        <w:t>Brunswick</w:t>
      </w:r>
      <w:r>
        <w:rPr>
          <w:i w:val="false"/>
          <w:iCs w:val="false"/>
        </w:rPr>
        <w:t xml:space="preserve">: ‎ Rutgers University Press,  </w:t>
      </w:r>
      <w:r>
        <w:rPr>
          <w:i w:val="false"/>
          <w:iCs w:val="false"/>
        </w:rPr>
        <w:t>1995). p. 49</w:t>
      </w:r>
      <w:r>
        <w:rPr/>
        <w:t xml:space="preserve">, </w:t>
      </w:r>
      <w:r>
        <w:rPr/>
        <w:t>para.</w:t>
      </w:r>
      <w:r>
        <w:rPr/>
        <w:t xml:space="preserve"> 192b</w:t>
      </w:r>
    </w:p>
  </w:footnote>
  <w:footnote w:id="5">
    <w:p>
      <w:pPr>
        <w:pStyle w:val="Footnote"/>
        <w:bidi w:val="0"/>
        <w:jc w:val="left"/>
        <w:rPr/>
      </w:pPr>
      <w:r>
        <w:rPr>
          <w:rStyle w:val="FootnoteCharacters"/>
        </w:rPr>
        <w:footnoteRef/>
      </w:r>
      <w:r>
        <w:rPr/>
        <w:tab/>
        <w:t>Aristotle, “</w:t>
      </w:r>
      <w:r>
        <w:rPr/>
        <w:t xml:space="preserve">Metaphysics”, Book 9. </w:t>
      </w:r>
      <w:r>
        <w:rPr/>
        <w:t>In</w:t>
      </w:r>
      <w:r>
        <w:rPr>
          <w:i/>
          <w:iCs/>
        </w:rPr>
        <w:t xml:space="preserve"> </w:t>
      </w:r>
      <w:bookmarkStart w:id="4" w:name="title2"/>
      <w:bookmarkStart w:id="5" w:name="productTitle2"/>
      <w:bookmarkEnd w:id="4"/>
      <w:bookmarkEnd w:id="5"/>
      <w:r>
        <w:rPr>
          <w:i/>
          <w:iCs/>
        </w:rPr>
        <w:t>Aristotle's Metaphysics</w:t>
      </w:r>
      <w:r>
        <w:rPr>
          <w:i w:val="false"/>
          <w:iCs w:val="false"/>
        </w:rPr>
        <w:t>. Tr. Joe Sachs (Santa Fe: Green Lion Press, 1999),</w:t>
      </w:r>
      <w:r>
        <w:rPr>
          <w:i/>
          <w:iCs/>
        </w:rPr>
        <w:t xml:space="preserve"> </w:t>
      </w:r>
      <w:r>
        <w:rPr/>
        <w:t xml:space="preserve">Chapter 6, </w:t>
      </w:r>
      <w:r>
        <w:rPr/>
        <w:t xml:space="preserve">p. 174, para. </w:t>
      </w:r>
      <w:r>
        <w:rPr/>
        <w:t>1048b</w:t>
      </w:r>
    </w:p>
  </w:footnote>
  <w:footnote w:id="6">
    <w:p>
      <w:pPr>
        <w:pStyle w:val="Footnote"/>
        <w:bidi w:val="0"/>
        <w:jc w:val="left"/>
        <w:rPr/>
      </w:pPr>
      <w:r>
        <w:rPr>
          <w:rStyle w:val="FootnoteCharacters"/>
        </w:rPr>
        <w:footnoteRef/>
      </w:r>
      <w:r>
        <w:rPr/>
        <w:tab/>
        <w:t>Sachs (1995)</w:t>
      </w:r>
      <w:r>
        <w:rPr/>
        <w:t xml:space="preserve">, </w:t>
      </w:r>
      <w:r>
        <w:rPr/>
        <w:t>p. 54</w:t>
      </w:r>
      <w:r>
        <w:rPr/>
        <w:t xml:space="preserve">, </w:t>
      </w:r>
      <w:r>
        <w:rPr/>
        <w:t xml:space="preserve">para. </w:t>
      </w:r>
      <w:r>
        <w:rPr/>
        <w:t>195a</w:t>
      </w:r>
    </w:p>
  </w:footnote>
  <w:footnote w:id="7">
    <w:p>
      <w:pPr>
        <w:pStyle w:val="Footnote"/>
        <w:bidi w:val="0"/>
        <w:jc w:val="left"/>
        <w:rPr/>
      </w:pPr>
      <w:r>
        <w:rPr>
          <w:rStyle w:val="FootnoteCharacters"/>
        </w:rPr>
        <w:footnoteRef/>
      </w:r>
      <w:r>
        <w:rPr>
          <w:i w:val="false"/>
          <w:iCs w:val="false"/>
        </w:rPr>
        <w:tab/>
        <w:t>Sachs (2002)</w:t>
      </w:r>
      <w:r>
        <w:rPr>
          <w:i w:val="false"/>
          <w:iCs w:val="false"/>
        </w:rPr>
        <w:t>,</w:t>
      </w:r>
      <w:r>
        <w:rPr>
          <w:i/>
          <w:iCs/>
        </w:rPr>
        <w:t xml:space="preserve"> </w:t>
      </w:r>
      <w:r>
        <w:rPr>
          <w:i w:val="false"/>
          <w:iCs w:val="false"/>
        </w:rPr>
        <w:t xml:space="preserve">p. </w:t>
      </w:r>
      <w:r>
        <w:rPr>
          <w:i w:val="false"/>
          <w:iCs w:val="false"/>
        </w:rPr>
        <w:t>21, para.</w:t>
      </w:r>
      <w:r>
        <w:rPr/>
        <w:t xml:space="preserve"> 1103b30</w:t>
      </w:r>
    </w:p>
  </w:footnote>
  <w:footnote w:id="8">
    <w:p>
      <w:pPr>
        <w:pStyle w:val="Footnote"/>
        <w:bidi w:val="0"/>
        <w:jc w:val="left"/>
        <w:rPr/>
      </w:pPr>
      <w:r>
        <w:rPr>
          <w:rStyle w:val="FootnoteCharacters"/>
        </w:rPr>
        <w:footnoteRef/>
      </w:r>
      <w:r>
        <w:rPr/>
        <w:tab/>
        <w:t xml:space="preserve">Aristotle, “Nicomachean Ethics”, </w:t>
      </w:r>
      <w:r>
        <w:rPr/>
        <w:t xml:space="preserve">Book I. </w:t>
      </w:r>
      <w:r>
        <w:rPr/>
        <w:t>In</w:t>
      </w:r>
      <w:r>
        <w:rPr>
          <w:i/>
          <w:iCs/>
        </w:rPr>
        <w:t xml:space="preserve"> </w:t>
      </w:r>
      <w:bookmarkStart w:id="6" w:name="title4"/>
      <w:bookmarkStart w:id="7" w:name="productTitle4"/>
      <w:bookmarkEnd w:id="6"/>
      <w:bookmarkEnd w:id="7"/>
      <w:r>
        <w:rPr>
          <w:i/>
          <w:iCs/>
        </w:rPr>
        <w:t>Aristotle's Nicomachean Ethics</w:t>
      </w:r>
      <w:r>
        <w:rPr>
          <w:i w:val="false"/>
          <w:iCs w:val="false"/>
        </w:rPr>
        <w:t>. Tr. Joe Sachs (Newberryport: Focus Publishing, 2002),</w:t>
      </w:r>
      <w:r>
        <w:rPr>
          <w:i/>
          <w:iCs/>
        </w:rPr>
        <w:t xml:space="preserve"> </w:t>
      </w:r>
      <w:r>
        <w:rPr>
          <w:i w:val="false"/>
          <w:iCs w:val="false"/>
        </w:rPr>
        <w:t>p.1, para.</w:t>
      </w:r>
      <w:r>
        <w:rPr/>
        <w:t>1094a</w:t>
      </w:r>
    </w:p>
  </w:footnote>
  <w:footnote w:id="9">
    <w:p>
      <w:pPr>
        <w:pStyle w:val="Footnote"/>
        <w:bidi w:val="0"/>
        <w:jc w:val="left"/>
        <w:rPr/>
      </w:pPr>
      <w:r>
        <w:rPr>
          <w:rStyle w:val="FootnoteCharacters"/>
        </w:rPr>
        <w:footnoteRef/>
      </w:r>
      <w:r>
        <w:rPr/>
        <w:tab/>
        <w:t xml:space="preserve">Ibid, p. 10, para. </w:t>
      </w:r>
      <w:r>
        <w:rPr/>
        <w:t>1097a30-</w:t>
      </w:r>
      <w:r>
        <w:rPr/>
        <w:t>1097</w:t>
      </w:r>
      <w:r>
        <w:rPr/>
        <w:t>b</w:t>
      </w:r>
    </w:p>
  </w:footnote>
  <w:footnote w:id="10">
    <w:p>
      <w:pPr>
        <w:pStyle w:val="Footnote"/>
        <w:bidi w:val="0"/>
        <w:jc w:val="left"/>
        <w:rPr/>
      </w:pPr>
      <w:r>
        <w:rPr>
          <w:rStyle w:val="FootnoteCharacters"/>
        </w:rPr>
        <w:footnoteRef/>
      </w:r>
      <w:r>
        <w:rPr/>
        <w:tab/>
        <w:t>Ibid. pp. 11-2, para. 1098a10-20</w:t>
      </w:r>
    </w:p>
  </w:footnote>
  <w:footnote w:id="11">
    <w:p>
      <w:pPr>
        <w:pStyle w:val="Footnote"/>
        <w:bidi w:val="0"/>
        <w:jc w:val="left"/>
        <w:rPr/>
      </w:pPr>
      <w:r>
        <w:rPr>
          <w:rStyle w:val="FootnoteCharacters"/>
        </w:rPr>
        <w:footnoteRef/>
      </w:r>
      <w:r>
        <w:rPr/>
        <w:tab/>
        <w:t xml:space="preserve">Aristotle, “Nicomachean Ethics”, </w:t>
      </w:r>
      <w:r>
        <w:rPr/>
        <w:t xml:space="preserve">Book II. </w:t>
      </w:r>
      <w:r>
        <w:rPr/>
        <w:t>In</w:t>
      </w:r>
      <w:r>
        <w:rPr>
          <w:i/>
          <w:iCs/>
        </w:rPr>
        <w:t xml:space="preserve"> </w:t>
      </w:r>
      <w:bookmarkStart w:id="8" w:name="title5"/>
      <w:bookmarkStart w:id="9" w:name="productTitle5"/>
      <w:bookmarkEnd w:id="8"/>
      <w:bookmarkEnd w:id="9"/>
      <w:r>
        <w:rPr>
          <w:i/>
          <w:iCs/>
        </w:rPr>
        <w:t>Aristotle's Nicomachean Ethics</w:t>
      </w:r>
      <w:r>
        <w:rPr>
          <w:i w:val="false"/>
          <w:iCs w:val="false"/>
        </w:rPr>
        <w:t>. Tr. Joe Sachs (Newberryport: Focus Publishing, 2002),</w:t>
      </w:r>
      <w:r>
        <w:rPr>
          <w:i/>
          <w:iCs/>
        </w:rPr>
        <w:t xml:space="preserve"> </w:t>
      </w:r>
      <w:r>
        <w:rPr>
          <w:i w:val="false"/>
          <w:iCs w:val="false"/>
        </w:rPr>
        <w:t>p</w:t>
      </w:r>
      <w:r>
        <w:rPr>
          <w:i w:val="false"/>
          <w:iCs w:val="false"/>
        </w:rPr>
        <w:t>. 22</w:t>
      </w:r>
      <w:r>
        <w:rPr>
          <w:i w:val="false"/>
          <w:iCs w:val="false"/>
        </w:rPr>
        <w:t>, para.</w:t>
      </w:r>
      <w:r>
        <w:rPr/>
        <w:t xml:space="preserve"> 1103</w:t>
      </w:r>
      <w:r>
        <w:rPr/>
        <w:t>a20</w:t>
      </w:r>
    </w:p>
  </w:footnote>
  <w:footnote w:id="12">
    <w:p>
      <w:pPr>
        <w:pStyle w:val="Footnote"/>
        <w:bidi w:val="0"/>
        <w:jc w:val="left"/>
        <w:rPr/>
      </w:pPr>
      <w:r>
        <w:rPr>
          <w:rStyle w:val="FootnoteCharacters"/>
        </w:rPr>
        <w:footnoteRef/>
      </w:r>
      <w:r>
        <w:rPr/>
        <w:tab/>
        <w:t>Book II, Chapter II, 1103</w:t>
      </w:r>
      <w:r>
        <w:rPr/>
        <w:t>a10-20</w:t>
      </w:r>
    </w:p>
  </w:footnote>
  <w:footnote w:id="13">
    <w:p>
      <w:pPr>
        <w:pStyle w:val="Footnote"/>
        <w:bidi w:val="0"/>
        <w:jc w:val="left"/>
        <w:rPr/>
      </w:pPr>
      <w:r>
        <w:rPr>
          <w:rStyle w:val="FootnoteCharacters"/>
        </w:rPr>
        <w:footnoteRef/>
      </w:r>
      <w:r>
        <w:rPr/>
        <w:tab/>
        <w:t xml:space="preserve">Ibid, </w:t>
      </w:r>
      <w:r>
        <w:rPr/>
        <w:t xml:space="preserve">p.24, para. </w:t>
      </w:r>
      <w:r>
        <w:rPr/>
        <w:t>1104b10</w:t>
      </w:r>
    </w:p>
  </w:footnote>
  <w:footnote w:id="14">
    <w:p>
      <w:pPr>
        <w:pStyle w:val="Footnote"/>
        <w:bidi w:val="0"/>
        <w:jc w:val="left"/>
        <w:rPr/>
      </w:pPr>
      <w:r>
        <w:rPr>
          <w:rStyle w:val="FootnoteCharacters"/>
        </w:rPr>
        <w:footnoteRef/>
      </w:r>
      <w:r>
        <w:rPr/>
        <w:tab/>
        <w:t xml:space="preserve">Ibid, </w:t>
      </w:r>
      <w:r>
        <w:rPr/>
        <w:t>p. 25, para.</w:t>
      </w:r>
      <w:r>
        <w:rPr/>
        <w:t>1104b30</w:t>
      </w:r>
    </w:p>
  </w:footnote>
  <w:footnote w:id="15">
    <w:p>
      <w:pPr>
        <w:pStyle w:val="Footnote"/>
        <w:bidi w:val="0"/>
        <w:jc w:val="left"/>
        <w:rPr/>
      </w:pPr>
      <w:r>
        <w:rPr>
          <w:rStyle w:val="FootnoteCharacters"/>
        </w:rPr>
        <w:footnoteRef/>
      </w:r>
      <w:r>
        <w:rPr/>
        <w:tab/>
        <w:t xml:space="preserve">Ibid, </w:t>
      </w:r>
      <w:r>
        <w:rPr/>
        <w:t>pp.25-6, para.</w:t>
      </w:r>
      <w:r>
        <w:rPr/>
        <w:t xml:space="preserve"> 1105a</w:t>
      </w:r>
    </w:p>
  </w:footnote>
  <w:footnote w:id="16">
    <w:p>
      <w:pPr>
        <w:pStyle w:val="Footnote"/>
        <w:bidi w:val="0"/>
        <w:jc w:val="left"/>
        <w:rPr/>
      </w:pPr>
      <w:r>
        <w:rPr>
          <w:rStyle w:val="FootnoteCharacters"/>
        </w:rPr>
        <w:footnoteRef/>
      </w:r>
      <w:r>
        <w:rPr/>
        <w:tab/>
        <w:t>A</w:t>
      </w:r>
      <w:r>
        <w:rPr/>
        <w:t xml:space="preserve">ristotle, “Nicomachean Ethics”, </w:t>
      </w:r>
      <w:r>
        <w:rPr/>
        <w:t>Book II</w:t>
      </w:r>
      <w:r>
        <w:rPr/>
        <w:t>I</w:t>
      </w:r>
      <w:r>
        <w:rPr/>
        <w:t xml:space="preserve">. </w:t>
      </w:r>
      <w:r>
        <w:rPr/>
        <w:t>In</w:t>
      </w:r>
      <w:r>
        <w:rPr>
          <w:i/>
          <w:iCs/>
        </w:rPr>
        <w:t xml:space="preserve"> </w:t>
      </w:r>
      <w:bookmarkStart w:id="10" w:name="title51"/>
      <w:bookmarkStart w:id="11" w:name="productTitle51"/>
      <w:bookmarkEnd w:id="10"/>
      <w:bookmarkEnd w:id="11"/>
      <w:r>
        <w:rPr>
          <w:i/>
          <w:iCs/>
        </w:rPr>
        <w:t>Aristotle's Nicomachean Ethics</w:t>
      </w:r>
      <w:r>
        <w:rPr>
          <w:i w:val="false"/>
          <w:iCs w:val="false"/>
        </w:rPr>
        <w:t xml:space="preserve">. Tr. Joe Sachs (Newberryport: Focus Publishing, 2002), </w:t>
      </w:r>
      <w:r>
        <w:rPr>
          <w:i w:val="false"/>
          <w:iCs w:val="false"/>
        </w:rPr>
        <w:t>p.49, para.</w:t>
      </w:r>
      <w:r>
        <w:rPr>
          <w:i/>
          <w:iCs/>
        </w:rPr>
        <w:t xml:space="preserve"> </w:t>
      </w:r>
      <w:r>
        <w:rPr/>
        <w:t>1115b</w:t>
      </w:r>
    </w:p>
  </w:footnote>
  <w:footnote w:id="17">
    <w:p>
      <w:pPr>
        <w:pStyle w:val="Footnote"/>
        <w:bidi w:val="0"/>
        <w:jc w:val="left"/>
        <w:rPr/>
      </w:pPr>
      <w:r>
        <w:rPr>
          <w:rStyle w:val="FootnoteCharacters"/>
        </w:rPr>
        <w:footnoteRef/>
      </w:r>
      <w:r>
        <w:rPr/>
        <w:tab/>
        <w:t xml:space="preserve">Ibid, </w:t>
      </w:r>
      <w:r>
        <w:rPr/>
        <w:t>p.50, para.</w:t>
      </w:r>
      <w:r>
        <w:rPr/>
        <w:t xml:space="preserve"> 1116a10</w:t>
      </w:r>
    </w:p>
  </w:footnote>
</w:footnotes>
</file>

<file path=word/settings.xml><?xml version="1.0" encoding="utf-8"?>
<w:settings xmlns:w="http://schemas.openxmlformats.org/wordprocessingml/2006/main">
  <w:zoom w:percent="120"/>
  <w:defaultTabStop w:val="709"/>
  <w:autoHyphenation w:val="true"/>
  <w:footnotePr>
    <w:numFmt w:val="decimal"/>
    <w:footnote w:id="0"/>
    <w:footnote w:id="1"/>
  </w:footnotePr>
  <w:compat>
    <w:compatSetting w:name="compatibilityMode" w:uri="http://schemas.microsoft.com/office/word" w:val="15"/>
  </w:compat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oto Serif CJK SC" w:cs="FreeSans"/>
        <w:kern w:val="2"/>
        <w:sz w:val="24"/>
        <w:szCs w:val="24"/>
        <w:lang w:val="en-US" w:eastAsia="zh-CN" w:bidi="hi-IN"/>
      </w:rPr>
    </w:rPrDefault>
    <w:pPrDefault>
      <w:pPr>
        <w:widowControl/>
        <w:suppressAutoHyphens w:val="true"/>
      </w:pPr>
    </w:pPrDefault>
  </w:docDefaults>
  <w:style w:type="paragraph" w:styleId="Normal">
    <w:name w:val="Normal"/>
    <w:qFormat/>
    <w:pPr>
      <w:widowControl/>
      <w:kinsoku w:val="true"/>
      <w:overflowPunct w:val="true"/>
      <w:autoSpaceDE w:val="true"/>
      <w:bidi w:val="0"/>
    </w:pPr>
    <w:rPr>
      <w:rFonts w:ascii="Liberation Serif" w:hAnsi="Liberation Serif" w:eastAsia="Noto Serif CJK SC" w:cs="FreeSans"/>
      <w:color w:val="auto"/>
      <w:kern w:val="2"/>
      <w:sz w:val="24"/>
      <w:szCs w:val="24"/>
      <w:lang w:val="en-US" w:eastAsia="zh-CN" w:bidi="hi-IN"/>
    </w:rPr>
  </w:style>
  <w:style w:type="paragraph" w:styleId="Heading1">
    <w:name w:val="Heading 1"/>
    <w:basedOn w:val="Heading"/>
    <w:next w:val="TextBody"/>
    <w:qFormat/>
    <w:pPr>
      <w:numPr>
        <w:ilvl w:val="0"/>
        <w:numId w:val="0"/>
      </w:numPr>
      <w:spacing w:before="240" w:after="120"/>
      <w:outlineLvl w:val="0"/>
    </w:pPr>
    <w:rPr>
      <w:rFonts w:ascii="Liberation Serif" w:hAnsi="Liberation Serif" w:eastAsia="Cantarell" w:cs="Liberation Serif"/>
      <w:b/>
      <w:bCs/>
      <w:sz w:val="48"/>
      <w:szCs w:val="48"/>
    </w:rPr>
  </w:style>
  <w:style w:type="character" w:styleId="InternetLink">
    <w:name w:val="Hyperlink"/>
    <w:rPr>
      <w:color w:val="000080"/>
      <w:u w:val="single"/>
    </w:rPr>
  </w:style>
  <w:style w:type="character" w:styleId="VisitedInternetLink">
    <w:name w:val="FollowedHyperlink"/>
    <w:rPr>
      <w:color w:val="800000"/>
      <w:u w:val="single"/>
    </w:rPr>
  </w:style>
  <w:style w:type="character" w:styleId="DefaultParagraphFont">
    <w:name w:val="Default Paragraph Font"/>
    <w:qFormat/>
    <w:rPr/>
  </w:style>
  <w:style w:type="character" w:styleId="WW8Num5z0">
    <w:name w:val="WW8Num5z0"/>
    <w:qFormat/>
    <w:rPr>
      <w:rFonts w:ascii="Calibri" w:hAnsi="Calibri" w:eastAsia="Calibri" w:cs="Arial"/>
    </w:rPr>
  </w:style>
  <w:style w:type="character" w:styleId="WW8Num5z1">
    <w:name w:val="WW8Num5z1"/>
    <w:qFormat/>
    <w:rPr>
      <w:b/>
      <w:bCs/>
    </w:rPr>
  </w:style>
  <w:style w:type="character" w:styleId="FootnoteCharacters">
    <w:name w:val="Footnote Characters"/>
    <w:qFormat/>
    <w:rPr/>
  </w:style>
  <w:style w:type="character" w:styleId="FootnoteAnchor">
    <w:name w:val="Footnote Anchor"/>
    <w:rPr>
      <w:vertAlign w:val="superscript"/>
    </w:rPr>
  </w:style>
  <w:style w:type="character" w:styleId="EndnoteAnchor">
    <w:name w:val="Endnote Anchor"/>
    <w:rPr>
      <w:vertAlign w:val="superscript"/>
    </w:rPr>
  </w:style>
  <w:style w:type="character" w:styleId="EndnoteCharacters">
    <w:name w:val="Endnote Characters"/>
    <w:qFormat/>
    <w:rPr/>
  </w:style>
  <w:style w:type="paragraph" w:styleId="Heading">
    <w:name w:val="Heading"/>
    <w:basedOn w:val="Normal"/>
    <w:next w:val="TextBody"/>
    <w:qFormat/>
    <w:pPr>
      <w:keepNext w:val="true"/>
      <w:spacing w:before="240" w:after="120"/>
    </w:pPr>
    <w:rPr>
      <w:rFonts w:ascii="Liberation Sans" w:hAnsi="Liberation Sans" w:eastAsia="Noto Sans CJK SC" w:cs="FreeSans"/>
      <w:sz w:val="28"/>
      <w:szCs w:val="28"/>
    </w:rPr>
  </w:style>
  <w:style w:type="paragraph" w:styleId="TextBody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TextBody"/>
    <w:pPr/>
    <w:rPr>
      <w:rFonts w:cs="FreeSans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FreeSans"/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>
      <w:rFonts w:cs="FreeSans"/>
    </w:rPr>
  </w:style>
  <w:style w:type="paragraph" w:styleId="Academic">
    <w:name w:val="Academic"/>
    <w:basedOn w:val="Normal"/>
    <w:qFormat/>
    <w:pPr>
      <w:bidi w:val="1"/>
      <w:spacing w:lineRule="auto" w:line="360" w:before="0" w:after="115"/>
      <w:ind w:left="0" w:right="0" w:firstLine="346"/>
      <w:contextualSpacing/>
      <w:jc w:val="both"/>
    </w:pPr>
    <w:rPr>
      <w:rFonts w:ascii="Times New Roman" w:hAnsi="Times New Roman" w:cs="David Libre"/>
      <w:b/>
      <w:bCs/>
    </w:rPr>
  </w:style>
  <w:style w:type="paragraph" w:styleId="Style13">
    <w:name w:val="אקדמי"/>
    <w:basedOn w:val="Normal"/>
    <w:autoRedefine/>
    <w:qFormat/>
    <w:pPr>
      <w:bidi w:val="1"/>
      <w:spacing w:lineRule="auto" w:line="360" w:before="0" w:after="0"/>
      <w:ind w:left="0" w:right="0" w:firstLine="58"/>
      <w:contextualSpacing/>
      <w:jc w:val="both"/>
    </w:pPr>
    <w:rPr>
      <w:rFonts w:ascii="Times New Roman" w:hAnsi="Times New Roman" w:cs="David CLM"/>
      <w:b w:val="false"/>
      <w:bCs w:val="false"/>
      <w:sz w:val="24"/>
      <w:szCs w:val="24"/>
      <w:u w:val="none"/>
    </w:rPr>
  </w:style>
  <w:style w:type="paragraph" w:styleId="Quotations">
    <w:name w:val="Quotations"/>
    <w:basedOn w:val="Normal"/>
    <w:qFormat/>
    <w:pPr>
      <w:spacing w:before="0" w:after="283"/>
      <w:ind w:left="567" w:right="567" w:hanging="0"/>
    </w:pPr>
    <w:rPr/>
  </w:style>
  <w:style w:type="paragraph" w:styleId="Footnote">
    <w:name w:val="Footnote Text"/>
    <w:basedOn w:val="Normal"/>
    <w:pPr>
      <w:suppressLineNumbers/>
      <w:ind w:left="340" w:right="0" w:hanging="340"/>
    </w:pPr>
    <w:rPr>
      <w:sz w:val="20"/>
      <w:szCs w:val="20"/>
    </w:rPr>
  </w:style>
  <w:style w:type="paragraph" w:styleId="HeaderandFooter">
    <w:name w:val="Header and Footer"/>
    <w:basedOn w:val="Normal"/>
    <w:qFormat/>
    <w:pPr>
      <w:suppressLineNumbers/>
      <w:tabs>
        <w:tab w:val="clear" w:pos="709"/>
        <w:tab w:val="center" w:pos="4986" w:leader="none"/>
        <w:tab w:val="right" w:pos="9972" w:leader="none"/>
      </w:tabs>
    </w:pPr>
    <w:rPr/>
  </w:style>
  <w:style w:type="paragraph" w:styleId="Header">
    <w:name w:val="Header"/>
    <w:basedOn w:val="HeaderandFooter"/>
    <w:pPr>
      <w:suppressLineNumbers/>
    </w:pPr>
    <w:rPr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otnotes" Target="footnotes.xml"/><Relationship Id="rId3" Type="http://schemas.openxmlformats.org/officeDocument/2006/relationships/fontTable" Target="fontTable.xml"/><Relationship Id="rId4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2075</TotalTime>
  <Application>LibreOffice/7.3.7.2$Linux_X86_64 LibreOffice_project/30$Build-2</Application>
  <AppVersion>15.0000</AppVersion>
  <Pages>3</Pages>
  <Words>833</Words>
  <Characters>4080</Characters>
  <CharactersWithSpaces>4916</CharactersWithSpaces>
  <Paragraphs>25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2023-06-21T13:57:02Z</dcterms:created>
  <dc:creator/>
  <dc:description/>
  <dc:language>en-US</dc:language>
  <cp:lastModifiedBy/>
  <dcterms:modified xsi:type="dcterms:W3CDTF">2023-06-25T15:51:32Z</dcterms:modified>
  <cp:revision>104</cp:revision>
  <dc:subject/>
  <dc:title/>
</cp:coreProperties>
</file>