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notes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המודל האנליטי בפילוסופיה של הלשון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החל מתקופתו של פרגה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מציב</w:t>
      </w:r>
      <w:r>
        <w:rPr>
          <w:b w:val="false"/>
          <w:b w:val="false"/>
          <w:bCs w:val="false"/>
          <w:rtl w:val="true"/>
        </w:rPr>
        <w:t xml:space="preserve"> את המשמעות בשפה סביב ערך האמת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למשפט יש משמעות אם ורק אם ניתן לקבוע אותו כאמיתי או שקרי ביחס לעולם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משפט דוגמת </w:t>
      </w:r>
      <w:r>
        <w:rPr>
          <w:b w:val="false"/>
          <w:b w:val="false"/>
          <w:bCs w:val="false"/>
          <w:i/>
          <w:i/>
          <w:iCs/>
          <w:rtl w:val="true"/>
        </w:rPr>
        <w:t>חוויאר הוא 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הוא בעל משמעות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משום שאם ניתן להצביע על עצם בעולם כ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ניתן לקבוע על פי אמת</w:t>
      </w:r>
      <w:r>
        <w:rPr>
          <w:b w:val="false"/>
          <w:bCs w:val="false"/>
          <w:i w:val="false"/>
          <w:iCs w:val="false"/>
          <w:rtl w:val="true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מידה מסוימת האם </w:t>
      </w:r>
      <w:r>
        <w:rPr>
          <w:b w:val="false"/>
          <w:b w:val="false"/>
          <w:bCs w:val="false"/>
          <w:i/>
          <w:i/>
          <w:iCs/>
          <w:rtl w:val="true"/>
        </w:rPr>
        <w:t xml:space="preserve">חוויאר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מקיים או לא מקיים את התכונה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חתול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מהו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הרי שזה מעין כלל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/>
          <w:i/>
          <w:iCs/>
          <w:rtl w:val="true"/>
        </w:rPr>
        <w:t>חתול הוא יונק טורף מבוית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מהסוג חתול ממשפחת החתוליים</w:t>
      </w:r>
      <w:r>
        <w:rPr>
          <w:rStyle w:val="FootnoteReference"/>
          <w:b w:val="false"/>
          <w:b w:val="false"/>
          <w:bCs w:val="false"/>
          <w:i/>
          <w:i/>
          <w:iCs/>
          <w:rtl w:val="true"/>
        </w:rPr>
        <w:footnoteReference w:id="2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האמנם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לודוויג ויטגנשטיין וסול קריפקי יטענו כנגדו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שמשמעות אינה אלא הסכמה חברתית נפרדת מן העולם ומן הפרט</w:t>
      </w:r>
      <w:r>
        <w:rPr>
          <w:b w:val="false"/>
          <w:bCs w:val="false"/>
          <w:i w:val="false"/>
          <w:iCs w:val="false"/>
          <w:rtl w:val="true"/>
        </w:rPr>
        <w:t>.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ויטגנשטיין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</w:t>
      </w:r>
      <w:r>
        <w:rPr>
          <w:b w:val="false"/>
          <w:b w:val="false"/>
          <w:bCs w:val="false"/>
          <w:i/>
          <w:i/>
          <w:iCs/>
          <w:rtl w:val="true"/>
        </w:rPr>
        <w:t>חקירות פילוסופיות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מדגים כיצד ניתן לפרש כל כלל שכזה באינספור דרכים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3"/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ונשען בתורו על אינספור כללים אחרים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כיצד נגדיר </w:t>
      </w:r>
      <w:r>
        <w:rPr>
          <w:b w:val="false"/>
          <w:b w:val="false"/>
          <w:bCs w:val="false"/>
          <w:i/>
          <w:i/>
          <w:iCs/>
          <w:rtl w:val="true"/>
        </w:rPr>
        <w:t>יונק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/>
          <w:i/>
          <w:iCs/>
          <w:rtl w:val="true"/>
        </w:rPr>
        <w:t>טורף מבוית</w:t>
      </w:r>
      <w:r>
        <w:rPr>
          <w:b w:val="false"/>
          <w:bCs w:val="false"/>
          <w:i/>
          <w:iCs/>
          <w:rtl w:val="true"/>
        </w:rPr>
        <w:t xml:space="preserve">? </w:t>
      </w:r>
      <w:r>
        <w:rPr>
          <w:b w:val="false"/>
          <w:b w:val="false"/>
          <w:bCs w:val="false"/>
          <w:i/>
          <w:i/>
          <w:iCs/>
          <w:rtl w:val="true"/>
        </w:rPr>
        <w:t>סוג חתול</w:t>
      </w:r>
      <w:r>
        <w:rPr>
          <w:b w:val="false"/>
          <w:bCs w:val="false"/>
          <w:i/>
          <w:iCs/>
          <w:rtl w:val="true"/>
        </w:rPr>
        <w:t xml:space="preserve">? </w:t>
      </w:r>
      <w:r>
        <w:rPr>
          <w:b w:val="false"/>
          <w:b w:val="false"/>
          <w:bCs w:val="false"/>
          <w:i/>
          <w:i/>
          <w:iCs/>
          <w:rtl w:val="true"/>
        </w:rPr>
        <w:t>משפחת החתוליים</w:t>
      </w:r>
      <w:r>
        <w:rPr>
          <w:b w:val="false"/>
          <w:bCs w:val="false"/>
          <w:i/>
          <w:iCs/>
          <w:rtl w:val="true"/>
        </w:rPr>
        <w:t>?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כל צל ש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 ספק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בכל אחת מן ההגדרות האלו נותנת פתח לפרשנות – כך שבסופו של דבר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ניתן להבין כל פעולה כך שתציית לכל כלל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וכל מושג כך שיענה לכל אמת מידה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אם נקבל עלינו את המודל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הפרגיאני האנליטי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לפיו משמעות נגזרת מהיחס של המילים לעולם – הרי שנותרנו בלי שום משמעות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או </w:t>
      </w:r>
      <w:r>
        <w:rPr>
          <w:b w:val="false"/>
          <w:b w:val="false"/>
          <w:bCs w:val="false"/>
          <w:i/>
          <w:i/>
          <w:iCs/>
          <w:rtl w:val="true"/>
        </w:rPr>
        <w:t>סוג 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אינם ייצוג של מצב עניינים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אלא פרשנות פרטנית שלי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וככזו בלתי ניתנת לחיוב או שלילה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קריפקי לוקח את הפרדוקס רחוק יותר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 xml:space="preserve">נניח ומהיכרותי את </w:t>
      </w:r>
      <w:r>
        <w:rPr>
          <w:b w:val="false"/>
          <w:b w:val="false"/>
          <w:bCs w:val="false"/>
          <w:i/>
          <w:i/>
          <w:iCs/>
          <w:rtl w:val="true"/>
        </w:rPr>
        <w:t>חויאר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אני קובע כי הוא מציית לטעמי לכלל </w:t>
      </w:r>
      <w:r>
        <w:rPr>
          <w:b w:val="false"/>
          <w:b w:val="false"/>
          <w:bCs w:val="false"/>
          <w:i/>
          <w:i/>
          <w:iCs/>
          <w:rtl w:val="true"/>
        </w:rPr>
        <w:t>יונק טורף מבוית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מהסוג חתול ממשפחת החתוליים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ולפיכך אני מכתירו כ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אלא שביכולתנו לחשוב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מבלי סתירה לוגית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על כללים דומים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למשל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ביכולתי לחשוב על </w:t>
      </w:r>
      <w:r>
        <w:rPr>
          <w:b w:val="false"/>
          <w:b w:val="false"/>
          <w:bCs w:val="false"/>
          <w:i/>
          <w:i/>
          <w:iCs/>
          <w:rtl w:val="true"/>
        </w:rPr>
        <w:t>שָמוּל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אותו אבין כ</w:t>
      </w:r>
      <w:r>
        <w:rPr>
          <w:b w:val="false"/>
          <w:b w:val="false"/>
          <w:bCs w:val="false"/>
          <w:i/>
          <w:i/>
          <w:iCs/>
          <w:rtl w:val="true"/>
        </w:rPr>
        <w:t>חתול עם פרווה ג’ינג’ית על אוזן אחת או יותר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שאוהב ליטופים</w:t>
      </w:r>
      <w:r>
        <w:rPr>
          <w:b w:val="false"/>
          <w:bCs w:val="false"/>
          <w:i w:val="false"/>
          <w:iCs w:val="false"/>
          <w:rtl w:val="true"/>
        </w:rPr>
        <w:t>.</w:t>
      </w:r>
      <w:r>
        <w:rPr>
          <w:b w:val="false"/>
          <w:bCs w:val="false"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ומה אם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שואל קריפקי בספקנות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הכלל שאליו אני מתכוון אינו </w:t>
      </w:r>
      <w:r>
        <w:rPr>
          <w:b w:val="false"/>
          <w:b w:val="false"/>
          <w:bCs w:val="false"/>
          <w:i/>
          <w:i/>
          <w:iCs/>
          <w:rtl w:val="true"/>
        </w:rPr>
        <w:t>כלל החתול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קרי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יונק טורף מבוית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מהסוג חתול ממשפחת החתוליים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אלא כלל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b w:val="false"/>
          <w:b w:val="false"/>
          <w:bCs w:val="false"/>
          <w:i/>
          <w:i/>
          <w:iCs/>
          <w:rtl w:val="true"/>
        </w:rPr>
        <w:t>שמול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–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קרי</w:t>
      </w:r>
      <w:r>
        <w:rPr>
          <w:b w:val="false"/>
          <w:bCs w:val="false"/>
          <w:i w:val="false"/>
          <w:iCs w:val="false"/>
          <w:rtl w:val="true"/>
        </w:rPr>
        <w:t xml:space="preserve">,  </w:t>
      </w:r>
      <w:r>
        <w:rPr>
          <w:b w:val="false"/>
          <w:b w:val="false"/>
          <w:bCs w:val="false"/>
          <w:i/>
          <w:i/>
          <w:iCs/>
          <w:rtl w:val="true"/>
        </w:rPr>
        <w:t>יונק טורף מבוית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מהסוג שמול ממשפחת השָמוּלִיים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והשיפוט בדבר 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אינו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אלא </w:t>
      </w:r>
      <w:r>
        <w:rPr>
          <w:b w:val="false"/>
          <w:b w:val="false"/>
          <w:bCs w:val="false"/>
          <w:i/>
          <w:i/>
          <w:iCs/>
          <w:rtl w:val="true"/>
        </w:rPr>
        <w:t>שמול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הלה הרי עונה לשני הכללים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מתוקף מה אני מסווגו תחת האחד ולא תחת האחר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השאלה שמציג קריפקי אינה אפיסטמית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כמו זו של ויטגנשטיין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אלא מטאפיזית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איזו עובדה בעולם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מצדיקה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4"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את כוונתי ל</w:t>
      </w:r>
      <w:r>
        <w:rPr>
          <w:b w:val="false"/>
          <w:b w:val="false"/>
          <w:bCs w:val="false"/>
          <w:i/>
          <w:i/>
          <w:iCs/>
          <w:rtl w:val="true"/>
        </w:rPr>
        <w:t>כלל החתול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ולא ל</w:t>
      </w:r>
      <w:r>
        <w:rPr>
          <w:b w:val="false"/>
          <w:b w:val="false"/>
          <w:bCs w:val="false"/>
          <w:i/>
          <w:i/>
          <w:iCs/>
          <w:rtl w:val="true"/>
        </w:rPr>
        <w:t>כלל השמול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הכיצד אני יכול לקבוע שאכן התכוונתי ל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בכל הפעמים בעבר שבהם שפטתי את 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כ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ולא ל</w:t>
      </w:r>
      <w:r>
        <w:rPr>
          <w:b w:val="false"/>
          <w:b w:val="false"/>
          <w:bCs w:val="false"/>
          <w:i/>
          <w:i/>
          <w:iCs/>
          <w:rtl w:val="true"/>
        </w:rPr>
        <w:t>שמול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אילו אוכל להצביע על מצב עניינים מוחלט ובלעדי להגדרת ה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אדע לכונן את כוונתי לכלל ה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קריפקי בוחן שתי אפשרויות להצביע על מצב עניינים שכזה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הראשונה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היא גישת הנטייה ההתנהגותית – לפיה </w:t>
      </w:r>
      <w:r>
        <w:rPr>
          <w:b w:val="false"/>
          <w:b w:val="false"/>
          <w:bCs w:val="false"/>
          <w:i/>
          <w:i/>
          <w:iCs/>
          <w:rtl w:val="true"/>
        </w:rPr>
        <w:t>כוונה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אינה אלא </w:t>
      </w:r>
      <w:r>
        <w:rPr>
          <w:b w:val="false"/>
          <w:b w:val="false"/>
          <w:bCs w:val="false"/>
          <w:i/>
          <w:i/>
          <w:iCs/>
          <w:rtl w:val="true"/>
        </w:rPr>
        <w:t>נטייה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לציית לכלל מסוים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5"/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שכוחו </w:t>
      </w:r>
      <w:r>
        <w:rPr>
          <w:b w:val="false"/>
          <w:b w:val="false"/>
          <w:bCs w:val="false"/>
          <w:i/>
          <w:i/>
          <w:iCs/>
          <w:rtl w:val="true"/>
        </w:rPr>
        <w:t>ניבוי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אילו צופה מן הצד היה ניגש אליי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מחווה לעבר 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ושואל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מה זה</w:t>
      </w:r>
      <w:r>
        <w:rPr>
          <w:b w:val="false"/>
          <w:bCs w:val="false"/>
          <w:i/>
          <w:iCs/>
          <w:rtl w:val="true"/>
        </w:rPr>
        <w:t>?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ואין שום ספק שבמצב כזה </w:t>
      </w:r>
      <w:r>
        <w:rPr>
          <w:b w:val="false"/>
          <w:b w:val="false"/>
          <w:bCs w:val="false"/>
          <w:i/>
          <w:i/>
          <w:iCs/>
          <w:rtl w:val="true"/>
        </w:rPr>
        <w:t xml:space="preserve">הייתי משיב </w:t>
      </w:r>
      <w:r>
        <w:rPr>
          <w:b/>
          <w:b/>
          <w:bCs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הרי שהתכוונתי ל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ולא ל</w:t>
      </w:r>
      <w:r>
        <w:rPr>
          <w:b w:val="false"/>
          <w:b w:val="false"/>
          <w:bCs w:val="false"/>
          <w:i/>
          <w:i/>
          <w:iCs/>
          <w:rtl w:val="true"/>
        </w:rPr>
        <w:t>שמול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קריפקי ממהר לשלול גישה זו מתוקף אופיה המטאפיזי של הבעיה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האתגר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כאמור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אינו קושי </w:t>
      </w:r>
      <w:r>
        <w:rPr>
          <w:b w:val="false"/>
          <w:b w:val="false"/>
          <w:bCs w:val="false"/>
          <w:i/>
          <w:i/>
          <w:iCs/>
          <w:rtl w:val="true"/>
        </w:rPr>
        <w:t>אפיסטמי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הספקן הקריפקאי אינו מטיל ספק בכך שאני </w:t>
      </w:r>
      <w:r>
        <w:rPr>
          <w:b w:val="false"/>
          <w:b w:val="false"/>
          <w:bCs w:val="false"/>
          <w:i/>
          <w:i/>
          <w:iCs/>
          <w:rtl w:val="true"/>
        </w:rPr>
        <w:t>יודע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שהתכוונתי ל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הוא מבקש </w:t>
      </w:r>
      <w:r>
        <w:rPr>
          <w:b w:val="false"/>
          <w:b w:val="false"/>
          <w:bCs w:val="false"/>
          <w:i/>
          <w:i/>
          <w:iCs/>
          <w:rtl w:val="true"/>
        </w:rPr>
        <w:t>להצדיק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את הידיעה הזו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נטייה התנהגותית חוטאת מהצדקה משני טעמים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הנטיות ההתנהגותיות שלנו מוגבלות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6"/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בהיותן תוצר של הניסיון המוגבל שלנו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הן מוגבלות למקרים אשר בכוחנו לתפוס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ביכולתי לסווג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ככזה לאור כל החתולים שראיתי בעבר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לחלקם יש פרווה מבריקה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לחלקם יש פרצוף פחוס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חלקם ממש קטנים וחלק מייללים לעיתים תכופות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נניח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אפוא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שלפני מופיע יצור כלשהו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שאינו עונה לאחת התבניות האלו – יש לו פרווה בצבע מוזר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פרצוף משונה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</w:t>
      </w:r>
      <w:r>
        <w:rPr>
          <w:b w:val="false"/>
          <w:b w:val="false"/>
          <w:bCs w:val="false"/>
          <w:i/>
          <w:i/>
          <w:iCs/>
          <w:rtl w:val="true"/>
        </w:rPr>
        <w:t>מיאו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בלתי רגיל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משום שלא ראיתי יצור שכזה או דומה לו מימיי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הנטייה ההתנהגותית שלי לא תסייע לי כאן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לא תהיה לי נטייה מידית שתקבע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הנה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/>
          <w:iCs/>
          <w:rtl w:val="true"/>
        </w:rPr>
        <w:t>!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ואאלץ לשקול כיצד לסווג את הדבר שעומד מולי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ונניח ובכל זאת הייתה לי נטייה כלשהי לסווג כל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יצור משמיע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rtl w:val="true"/>
        </w:rPr>
        <w:t>מיאו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כ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אילו הייתי רואה כל יצור שכזה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בכוחי כעת לנבא שאסווגו כחתול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מבלי שראיתי בעבר אותו או יצור דומה לו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מקשה קריפקי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מי קבע שהנטייה הזו מוצדקת</w:t>
      </w:r>
      <w:r>
        <w:rPr>
          <w:b w:val="false"/>
          <w:bCs w:val="false"/>
          <w:i w:val="false"/>
          <w:iCs w:val="false"/>
          <w:rtl w:val="true"/>
        </w:rPr>
        <w:t>?</w:t>
      </w:r>
      <w:r>
        <w:rPr>
          <w:rStyle w:val="FootnoteReference"/>
          <w:b w:val="false"/>
          <w:bCs w:val="false"/>
          <w:i w:val="false"/>
          <w:iCs w:val="false"/>
          <w:rtl w:val="true"/>
        </w:rPr>
        <w:footnoteReference w:id="7"/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הרי אנשים נוטים להתנהג בדרכים שגויות כל הזמן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אילו אנסה לבטא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לעומת </w:t>
      </w:r>
      <w:r>
        <w:rPr>
          <w:b w:val="false"/>
          <w:b w:val="false"/>
          <w:bCs w:val="false"/>
          <w:i/>
          <w:i/>
          <w:iCs/>
          <w:rtl w:val="true"/>
        </w:rPr>
        <w:t>שמול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ייתכן מאוד שאבלבל בין המושגים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הנטייה ההתנהגותית שלי בוודאי שאינה מוצדקת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עצם הניבוי אינו רלוונטי לשאלה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השאלה אינה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מה הייתי קובע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אלא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מה עליי לקבוע</w:t>
      </w:r>
      <w:r>
        <w:rPr>
          <w:rStyle w:val="FootnoteReference"/>
          <w:b w:val="false"/>
          <w:b w:val="false"/>
          <w:bCs w:val="false"/>
          <w:i/>
          <w:i/>
          <w:iCs/>
          <w:rtl w:val="true"/>
        </w:rPr>
        <w:footnoteReference w:id="8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Cs w:val="false"/>
          <w:i/>
          <w:iCs/>
          <w:rtl w:val="true"/>
        </w:rPr>
        <w:t xml:space="preserve"> </w:t>
      </w: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Cs w:val="false"/>
          <w:i/>
          <w:iCs/>
          <w:rtl w:val="true"/>
        </w:rPr>
        <w:t xml:space="preserve"> </w:t>
      </w:r>
    </w:p>
    <w:p>
      <w:pPr>
        <w:pStyle w:val="Philosophy"/>
        <w:ind w:hanging="0" w:left="0" w:right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 xml:space="preserve">האפשרות השנייה שבוחן קריפקי היא זיהוי של </w:t>
      </w:r>
      <w:r>
        <w:rPr>
          <w:b w:val="false"/>
          <w:b w:val="false"/>
          <w:bCs w:val="false"/>
          <w:i/>
          <w:i/>
          <w:iCs/>
          <w:rtl w:val="true"/>
        </w:rPr>
        <w:t>כוונה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עם </w:t>
      </w:r>
      <w:r>
        <w:rPr>
          <w:b w:val="false"/>
          <w:b w:val="false"/>
          <w:bCs w:val="false"/>
          <w:i/>
          <w:i/>
          <w:iCs/>
          <w:rtl w:val="true"/>
        </w:rPr>
        <w:t>מצב נפשי פנימי ייחודי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פילוסופים אנליטיים רבים מכוננים מצבים נפשיים  </w:t>
      </w: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דוגמת תחושת כאב – כ</w:t>
      </w:r>
      <w:r>
        <w:rPr>
          <w:b w:val="false"/>
          <w:b w:val="false"/>
          <w:bCs w:val="false"/>
          <w:i/>
          <w:i/>
          <w:iCs/>
          <w:rtl w:val="true"/>
        </w:rPr>
        <w:t>חסרי מהות נסתרת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די בהופעתו של המצב בכדי לכוננו ככזה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9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אילו נזהה </w:t>
      </w:r>
      <w:r>
        <w:rPr>
          <w:b w:val="false"/>
          <w:b w:val="false"/>
          <w:bCs w:val="false"/>
          <w:i/>
          <w:i/>
          <w:iCs/>
          <w:rtl w:val="true"/>
        </w:rPr>
        <w:t>כוונה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ככזו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יוסר מאיתנו לכאורה עול ההוכחה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די במצב הנפשי של </w:t>
      </w:r>
      <w:r>
        <w:rPr>
          <w:b w:val="false"/>
          <w:b w:val="false"/>
          <w:bCs w:val="false"/>
          <w:i/>
          <w:i/>
          <w:iCs/>
          <w:rtl w:val="true"/>
        </w:rPr>
        <w:t>הנה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/>
          <w:iCs/>
          <w:rtl w:val="true"/>
        </w:rPr>
        <w:t xml:space="preserve">!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בכדי לבסס את הכוונה ל</w:t>
      </w:r>
      <w:r>
        <w:rPr>
          <w:b w:val="false"/>
          <w:b w:val="false"/>
          <w:bCs w:val="false"/>
          <w:i/>
          <w:i/>
          <w:iCs/>
          <w:rtl w:val="true"/>
        </w:rPr>
        <w:t>כלל החתול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משום שהוא חסר מהות נסתרת – עצם זה שאני </w:t>
      </w:r>
      <w:r>
        <w:rPr>
          <w:b w:val="false"/>
          <w:b w:val="false"/>
          <w:bCs w:val="false"/>
          <w:i/>
          <w:i/>
          <w:iCs/>
          <w:rtl w:val="true"/>
        </w:rPr>
        <w:t xml:space="preserve">חושב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שאני מתכוון לחתול מספיק בכדי </w:t>
      </w:r>
      <w:r>
        <w:rPr>
          <w:b w:val="false"/>
          <w:b w:val="false"/>
          <w:bCs w:val="false"/>
          <w:i/>
          <w:i/>
          <w:iCs/>
          <w:rtl w:val="true"/>
        </w:rPr>
        <w:t>לקבוע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שאני מתכוון לחתול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זאת משום שחוויות פנימיות חסרות מהות נסתרת אינן ניתנות לצמצום לכדי מצב עניינים כזה או אחר בעולם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10"/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rPr/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קריפקי מתנגד לטעם הזה מכמה נימוקים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מדוע שמצב נפשי מסוים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ייחודי ככל שיהיה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יסייע לי להבין </w:t>
      </w:r>
      <w:r>
        <w:rPr>
          <w:b w:val="false"/>
          <w:b w:val="false"/>
          <w:bCs w:val="false"/>
          <w:i/>
          <w:i/>
          <w:iCs/>
          <w:rtl w:val="true"/>
        </w:rPr>
        <w:t>לאיזה כלל עליי לציית</w:t>
      </w:r>
      <w:r>
        <w:rPr>
          <w:b w:val="false"/>
          <w:bCs w:val="false"/>
          <w:i w:val="false"/>
          <w:iCs w:val="false"/>
          <w:rtl w:val="true"/>
        </w:rPr>
        <w:t>?</w:t>
      </w:r>
      <w:r>
        <w:rPr>
          <w:rStyle w:val="FootnoteReference"/>
          <w:b w:val="false"/>
          <w:bCs w:val="false"/>
          <w:i w:val="false"/>
          <w:iCs w:val="false"/>
          <w:rtl w:val="true"/>
        </w:rPr>
        <w:footnoteReference w:id="11"/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האם משום שקבעתי שאני מתכוון לחתול בכוחי לקבוע ש</w:t>
      </w:r>
      <w:r>
        <w:rPr>
          <w:b w:val="false"/>
          <w:b w:val="false"/>
          <w:bCs w:val="false"/>
          <w:i/>
          <w:i/>
          <w:iCs/>
          <w:rtl w:val="true"/>
        </w:rPr>
        <w:t>כלל החתול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הוא הכלל </w:t>
      </w:r>
      <w:r>
        <w:rPr>
          <w:b w:val="false"/>
          <w:b w:val="false"/>
          <w:bCs w:val="false"/>
          <w:i/>
          <w:i/>
          <w:iCs/>
          <w:rtl w:val="true"/>
        </w:rPr>
        <w:t>המוצדק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ל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גם אם נניח שהמצב הנפשי של </w:t>
      </w:r>
      <w:r>
        <w:rPr>
          <w:b w:val="false"/>
          <w:b w:val="false"/>
          <w:bCs w:val="false"/>
          <w:i/>
          <w:i/>
          <w:iCs/>
          <w:rtl w:val="true"/>
        </w:rPr>
        <w:t>הנה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/>
          <w:iCs/>
          <w:rtl w:val="true"/>
        </w:rPr>
        <w:t xml:space="preserve">!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ייחודי ומיוחד לי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נוכח בלי צל של ספק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ולא ניתן לצמצום לכדי מצב עניינים בעולם </w:t>
      </w: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לא נובע ממנו כל הכרח שהשיפוט הזה מוצדק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גם את המצב הנפשי שעולה לעיני רוחי אני יכול לפרש לפי כלל כזה או אחר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ושוב חזרנו לאותה הבעיה</w:t>
      </w:r>
      <w:r>
        <w:rPr>
          <w:b w:val="false"/>
          <w:bCs w:val="false"/>
          <w:i w:val="false"/>
          <w:iCs w:val="false"/>
          <w:rtl w:val="true"/>
        </w:rPr>
        <w:t>.</w:t>
        <w:tab/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יתרה מכך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קובע קריפי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קשה מאוד לצמצם כל כוונה שכזו לכדי חוויה נפשית מסוימת – הרגע המסוים שבו הפנמתי את המשמעות של חוק כזה או אחר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12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האם ישנו רגע מסוים שבו למדתי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באופן מוחלט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לזהות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נקודה מסוימת בזמן שממנה ואילך אוכל לומר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כן</w:t>
      </w:r>
      <w:r>
        <w:rPr>
          <w:b w:val="false"/>
          <w:bCs w:val="false"/>
          <w:i/>
          <w:iCs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rtl w:val="true"/>
        </w:rPr>
        <w:t>אני יודע לזהות את כל החתולים עכשי</w:t>
      </w:r>
      <w:r>
        <w:rPr>
          <w:b w:val="false"/>
          <w:b w:val="false"/>
          <w:bCs w:val="false"/>
          <w:i/>
          <w:i/>
          <w:iCs/>
          <w:rtl w:val="true"/>
        </w:rPr>
        <w:t>ו</w:t>
      </w:r>
      <w:r>
        <w:rPr>
          <w:b w:val="false"/>
          <w:bCs w:val="false"/>
          <w:i w:val="false"/>
          <w:iCs w:val="false"/>
          <w:rtl w:val="true"/>
        </w:rPr>
        <w:t>?</w:t>
      </w:r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אילו היה רגע כזה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הייתי יכול לקבוע אותו בתור המצב הנפשי הייחודי של </w:t>
      </w:r>
      <w:r>
        <w:rPr>
          <w:b w:val="false"/>
          <w:b w:val="false"/>
          <w:bCs w:val="false"/>
          <w:i/>
          <w:i/>
          <w:iCs/>
          <w:rtl w:val="true"/>
        </w:rPr>
        <w:t>כוונה לחתול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שאותו לא ניתן לצמצם לכדי מצב עניינים בעולם – אך נדמה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שכמו העובדה שאנו מחפשים להצדקת הכוונה שלנו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אין רגע כזה בנמצא – בוודאי לא כזה שאוכל לחוות כמצב פנימי בכל פעם שנקרה בפניי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ind w:hanging="0" w:left="0" w:right="0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 xml:space="preserve">נדמה שנותרנו בלי פתרון מספק לשאלה שלנו – כיצד עליי לדעת </w:t>
      </w:r>
      <w:r>
        <w:rPr>
          <w:b w:val="false"/>
          <w:b w:val="false"/>
          <w:bCs w:val="false"/>
          <w:i/>
          <w:i/>
          <w:iCs/>
          <w:rtl w:val="true"/>
        </w:rPr>
        <w:t>מה עליי לקבוע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הפתרון של קריפקי לאור ויטגנשטיין הוא נסיגה של השפה מן ה</w:t>
      </w:r>
      <w:r>
        <w:rPr>
          <w:b w:val="false"/>
          <w:b w:val="false"/>
          <w:bCs w:val="false"/>
          <w:i/>
          <w:i/>
          <w:iCs/>
          <w:rtl w:val="true"/>
        </w:rPr>
        <w:t>אמת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לעבר </w:t>
      </w:r>
      <w:r>
        <w:rPr>
          <w:b w:val="false"/>
          <w:b w:val="false"/>
          <w:bCs w:val="false"/>
          <w:i/>
          <w:i/>
          <w:iCs/>
          <w:rtl w:val="true"/>
        </w:rPr>
        <w:t>טענה</w:t>
      </w:r>
      <w:r>
        <w:rPr>
          <w:rStyle w:val="FootnoteReference"/>
          <w:b w:val="false"/>
          <w:b w:val="false"/>
          <w:bCs w:val="false"/>
          <w:i/>
          <w:i/>
          <w:iCs/>
          <w:rtl w:val="true"/>
        </w:rPr>
        <w:footnoteReference w:id="13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כאשר אני אומר דבר</w:t>
      </w:r>
      <w:r>
        <w:rPr>
          <w:b w:val="false"/>
          <w:bCs w:val="false"/>
          <w:i w:val="false"/>
          <w:iCs w:val="false"/>
          <w:rtl w:val="true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מה כמו </w:t>
      </w:r>
      <w:r>
        <w:rPr>
          <w:b w:val="false"/>
          <w:b w:val="false"/>
          <w:bCs w:val="false"/>
          <w:i/>
          <w:i/>
          <w:iCs/>
          <w:rtl w:val="true"/>
        </w:rPr>
        <w:t>חוויאר הוא 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איני יכול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להצדיקה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במצב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עניינים בעולם – זאת מודה קריפקי בפני הספקן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ומשום כך הפתרון הוא ספקני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14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האמרה שלי אינה קביעה אונטולוגית ביחס לאמת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אלא 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מהלך</w:t>
      </w:r>
      <w:r>
        <w:rPr>
          <w:b w:val="false"/>
          <w:bCs w:val="false"/>
          <w:i w:val="false"/>
          <w:iCs w:val="false"/>
          <w:rtl w:val="true"/>
        </w:rPr>
        <w:t xml:space="preserve">"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תקף ב</w:t>
      </w:r>
      <w:r>
        <w:rPr>
          <w:b w:val="false"/>
          <w:b w:val="false"/>
          <w:bCs w:val="false"/>
          <w:i/>
          <w:i/>
          <w:iCs/>
          <w:rtl w:val="true"/>
        </w:rPr>
        <w:t xml:space="preserve">משחק </w:t>
      </w:r>
      <w:r>
        <w:rPr>
          <w:b w:val="false"/>
          <w:b w:val="false"/>
          <w:bCs w:val="false"/>
          <w:i/>
          <w:i/>
          <w:iCs/>
          <w:rtl w:val="true"/>
        </w:rPr>
        <w:t>הלשון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שמסכימה עליו הקהילה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15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החלפת המשמעות בשפה מן האמת להקשר של דוברי השפה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עול ההשוואה למצב העניינים בעולם מוסר מאיתנו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אני לא צריך לגבות את הטענה שלי בעובדה כלשהי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אלא רק לדאוג שתציית לחוקים השרירותיים שקבעו דוברי השפה 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16"/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היכן שקודם חיפשנו </w:t>
      </w:r>
      <w:r>
        <w:rPr>
          <w:b w:val="false"/>
          <w:b w:val="false"/>
          <w:bCs w:val="false"/>
          <w:i/>
          <w:i/>
          <w:iCs/>
          <w:rtl w:val="true"/>
        </w:rPr>
        <w:t>אמת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כעת אנו מחפשים רק </w:t>
      </w:r>
      <w:r>
        <w:rPr>
          <w:b w:val="false"/>
          <w:b w:val="false"/>
          <w:bCs w:val="false"/>
          <w:i/>
          <w:i/>
          <w:iCs/>
          <w:rtl w:val="true"/>
        </w:rPr>
        <w:t>הסכמה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17"/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ind w:hanging="0" w:left="0" w:right="0"/>
        <w:rPr>
          <w:b/>
          <w:bCs/>
        </w:rPr>
      </w:pPr>
      <w:r>
        <w:rPr>
          <w:b/>
          <w:bCs/>
          <w:rtl w:val="true"/>
        </w:rPr>
        <w:tab/>
      </w:r>
      <w:r>
        <w:rPr>
          <w:b w:val="false"/>
          <w:b w:val="false"/>
          <w:bCs w:val="false"/>
          <w:rtl w:val="true"/>
        </w:rPr>
        <w:t>אך אם המשמעות בשפה הינה תוצר חברתי גרידא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מה באשר למצבים שבהם אני משתמש בשפה באופן פרטני</w:t>
      </w:r>
      <w:r>
        <w:rPr>
          <w:b w:val="false"/>
          <w:bCs w:val="false"/>
          <w:rtl w:val="true"/>
        </w:rPr>
        <w:t xml:space="preserve">? </w:t>
      </w:r>
      <w:r>
        <w:rPr>
          <w:b w:val="false"/>
          <w:b w:val="false"/>
          <w:bCs w:val="false"/>
          <w:rtl w:val="true"/>
        </w:rPr>
        <w:t>מה באשר לדברים כמו המתמטיקה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או התחושות הפנימיות שלי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אשר בכוחי לבטא בהקשר לעצמי בלבד</w:t>
      </w:r>
      <w:r>
        <w:rPr>
          <w:b w:val="false"/>
          <w:bCs w:val="false"/>
          <w:rtl w:val="true"/>
        </w:rPr>
        <w:t>?</w:t>
      </w:r>
      <w:r>
        <w:rPr>
          <w:rStyle w:val="FootnoteReference"/>
          <w:b w:val="false"/>
          <w:bCs w:val="false"/>
          <w:rtl w:val="true"/>
        </w:rPr>
        <w:footnoteReference w:id="18"/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קריפקי מנהיר בפנינו את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טיעון השפה הפרטית </w:t>
      </w:r>
      <w:r>
        <w:rPr>
          <w:b w:val="false"/>
          <w:b w:val="false"/>
          <w:bCs w:val="false"/>
          <w:rtl w:val="true"/>
        </w:rPr>
        <w:t>החריף של ויטגנשטיין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לפיו אם נקבל עלינו את האשרור החברתי כמהות השפה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הרי שאין בכוחי לפעול על פי חוקי </w:t>
      </w:r>
      <w:r>
        <w:rPr>
          <w:b w:val="false"/>
          <w:b w:val="false"/>
          <w:bCs w:val="false"/>
          <w:i/>
          <w:i/>
          <w:iCs/>
          <w:rtl w:val="true"/>
        </w:rPr>
        <w:t>משחק הלשון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בהקשר יחיד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ולמעשה – אין בכוחי לומר שום דבר בעל משמעות מחוץ להקשר החברתי הרחב יותר</w:t>
      </w:r>
      <w:r>
        <w:rPr>
          <w:rStyle w:val="FootnoteReference"/>
          <w:b w:val="false"/>
          <w:b w:val="false"/>
          <w:bCs w:val="false"/>
          <w:i w:val="false"/>
          <w:i w:val="false"/>
          <w:iCs w:val="false"/>
          <w:rtl w:val="true"/>
        </w:rPr>
        <w:footnoteReference w:id="19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כשאנו מדברים על דברים שלא ניתנים לשיפוט חיצוני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אנו לא יכולים לציית לחוק בשום משמעות שהיא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הרי כיחיד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אני אפעל על פי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מה שאני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חושב לנכון – </w:t>
      </w:r>
      <w:r>
        <w:rPr>
          <w:b w:val="false"/>
          <w:b w:val="false"/>
          <w:bCs w:val="false"/>
          <w:i/>
          <w:i/>
          <w:iCs/>
          <w:rtl w:val="true"/>
        </w:rPr>
        <w:t>חוויאר הוא חתול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אך תנאי המשמעות שלי – הסכמתם של חברים נוספים ב</w:t>
      </w:r>
      <w:r>
        <w:rPr>
          <w:b w:val="false"/>
          <w:b w:val="false"/>
          <w:bCs w:val="false"/>
          <w:i/>
          <w:i/>
          <w:iCs/>
          <w:rtl w:val="true"/>
        </w:rPr>
        <w:t>משחק הלשון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שלי – לא יכול להתקיים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ולפיכך אין ביכולתי להצדיק את הטענה שלי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כפי שהראינו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אין מצב עניינים כזה או אחר בעולם שיוכיח כי </w:t>
      </w:r>
      <w:r>
        <w:rPr>
          <w:b w:val="false"/>
          <w:b w:val="false"/>
          <w:bCs w:val="false"/>
          <w:i/>
          <w:i/>
          <w:iCs/>
          <w:rtl w:val="true"/>
        </w:rPr>
        <w:t>ראוי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שאומר ש</w:t>
      </w:r>
      <w:r>
        <w:rPr>
          <w:b w:val="false"/>
          <w:b w:val="false"/>
          <w:bCs w:val="false"/>
          <w:i/>
          <w:i/>
          <w:iCs/>
          <w:rtl w:val="true"/>
        </w:rPr>
        <w:t>חוויאר הוא חתול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כאן מונהר לנו בשלמותו המהלך הספקני של קריפקי וויטגנשטיין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המשמעות היחידה בשפה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אפילו כשזו נוגעת למחשבות הכמוסות שלנו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אינה אלא דבר יחסי לחברה שאת מרותה אני בוחר לקבל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בדמות </w:t>
      </w:r>
      <w:r>
        <w:rPr>
          <w:b w:val="false"/>
          <w:b w:val="false"/>
          <w:bCs w:val="false"/>
          <w:i/>
          <w:i/>
          <w:iCs/>
          <w:rtl w:val="true"/>
        </w:rPr>
        <w:t>משחק הלשון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שאני בוחר 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לשחק</w:t>
      </w:r>
      <w:r>
        <w:rPr>
          <w:b w:val="false"/>
          <w:bCs w:val="false"/>
          <w:i w:val="false"/>
          <w:iCs w:val="false"/>
          <w:rtl w:val="true"/>
        </w:rPr>
        <w:t xml:space="preserve">".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האם 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הוא </w:t>
      </w:r>
      <w:r>
        <w:rPr>
          <w:b w:val="false"/>
          <w:b w:val="false"/>
          <w:bCs w:val="false"/>
          <w:i/>
          <w:i/>
          <w:iCs/>
          <w:rtl w:val="true"/>
        </w:rPr>
        <w:t>חתול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אפוא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או </w:t>
      </w:r>
      <w:r>
        <w:rPr>
          <w:b w:val="false"/>
          <w:b w:val="false"/>
          <w:bCs w:val="false"/>
          <w:i/>
          <w:i/>
          <w:iCs/>
          <w:rtl w:val="true"/>
        </w:rPr>
        <w:t>שמול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הוא מה שנסכים כולנו – לא על פי </w:t>
      </w:r>
      <w:r>
        <w:rPr>
          <w:b w:val="false"/>
          <w:b w:val="false"/>
          <w:bCs w:val="false"/>
          <w:i/>
          <w:i/>
          <w:iCs/>
          <w:rtl w:val="true"/>
        </w:rPr>
        <w:t>חוויאר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עצמו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ולא על פי המחשבות הפרטניות שלי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ind w:hanging="0" w:left="0" w:right="0"/>
        <w:rPr>
          <w:b/>
          <w:bCs/>
        </w:rPr>
      </w:pPr>
      <w:r>
        <w:rPr>
          <w:rtl w:val="true"/>
        </w:rPr>
      </w:r>
    </w:p>
    <w:p>
      <w:pPr>
        <w:pStyle w:val="Philosophy"/>
        <w:ind w:hanging="0" w:left="0" w:right="0"/>
        <w:rPr>
          <w:b/>
          <w:bCs/>
        </w:rPr>
      </w:pPr>
      <w:r>
        <w:rPr>
          <w:rtl w:val="true"/>
        </w:rPr>
      </w:r>
    </w:p>
    <w:p>
      <w:pPr>
        <w:pStyle w:val="Philosophy"/>
        <w:ind w:hanging="0" w:left="0" w:right="0"/>
        <w:rPr>
          <w:b/>
          <w:bCs/>
        </w:rPr>
      </w:pPr>
      <w:r>
        <w:rPr>
          <w:rtl w:val="true"/>
        </w:rPr>
      </w:r>
    </w:p>
    <w:p>
      <w:pPr>
        <w:pStyle w:val="Philosophy"/>
        <w:bidi w:val="0"/>
        <w:ind w:hanging="0" w:left="0" w:right="0"/>
        <w:jc w:val="center"/>
        <w:rPr>
          <w:b/>
          <w:bCs/>
          <w:u w:val="single"/>
        </w:rPr>
      </w:pPr>
      <w:r>
        <w:rPr>
          <w:b/>
          <w:b/>
          <w:bCs/>
          <w:u w:val="single"/>
          <w:rtl w:val="true"/>
        </w:rPr>
        <w:t>ביבליוגרפיה</w:t>
      </w:r>
    </w:p>
    <w:p>
      <w:pPr>
        <w:pStyle w:val="Philosophy"/>
        <w:bidi w:val="0"/>
        <w:ind w:hanging="0" w:left="0" w:right="0"/>
        <w:jc w:val="center"/>
        <w:rPr>
          <w:b/>
          <w:bCs/>
          <w:u w:val="single"/>
        </w:rPr>
      </w:pPr>
      <w:r>
        <w:rPr>
          <w:b w:val="false"/>
          <w:bCs w:val="false"/>
          <w:u w:val="none"/>
        </w:rPr>
        <w:t xml:space="preserve">Gertler, Brie. "In Defence of Mind-Body Dualism." In </w:t>
      </w:r>
      <w:r>
        <w:rPr>
          <w:rStyle w:val="Emphasis"/>
          <w:b w:val="false"/>
          <w:bCs w:val="false"/>
          <w:u w:val="none"/>
        </w:rPr>
        <w:t>Mind and Its Place in Nature,</w:t>
      </w:r>
      <w:r>
        <w:rPr>
          <w:b w:val="false"/>
          <w:bCs w:val="false"/>
          <w:u w:val="none"/>
        </w:rPr>
        <w:t xml:space="preserve"> edited by David Chalmers. Oxford University Press, 2002.</w:t>
      </w:r>
    </w:p>
    <w:p>
      <w:pPr>
        <w:pStyle w:val="Philosophy"/>
        <w:bidi w:val="0"/>
        <w:ind w:hanging="0" w:left="0" w:right="0"/>
        <w:jc w:val="center"/>
        <w:rPr>
          <w:b/>
          <w:bCs/>
          <w:u w:val="single"/>
        </w:rPr>
      </w:pPr>
      <w:r>
        <w:rPr>
          <w:b w:val="false"/>
          <w:bCs w:val="false"/>
          <w:u w:val="none"/>
        </w:rPr>
        <w:t xml:space="preserve">Kripke, Saul A. </w:t>
      </w:r>
      <w:r>
        <w:rPr>
          <w:rStyle w:val="Emphasis"/>
          <w:b w:val="false"/>
          <w:bCs w:val="false"/>
          <w:u w:val="none"/>
        </w:rPr>
        <w:t>Wittgenstein on Rules and Private Language: An Elementary Exposition.</w:t>
      </w:r>
      <w:r>
        <w:rPr>
          <w:b w:val="false"/>
          <w:bCs w:val="false"/>
          <w:u w:val="none"/>
        </w:rPr>
        <w:t xml:space="preserve"> Harvard University Press, 1984.</w:t>
      </w:r>
    </w:p>
    <w:p>
      <w:pPr>
        <w:pStyle w:val="Philosophy"/>
        <w:bidi w:val="1"/>
        <w:ind w:hanging="0" w:left="0" w:right="0"/>
        <w:jc w:val="center"/>
        <w:rPr>
          <w:b/>
          <w:bCs/>
          <w:u w:val="single"/>
        </w:rPr>
      </w:pPr>
      <w:r>
        <w:rPr>
          <w:b w:val="false"/>
          <w:bCs w:val="false"/>
          <w:u w:val="none"/>
          <w:rtl w:val="true"/>
        </w:rPr>
        <w:t>“</w:t>
      </w:r>
      <w:r>
        <w:rPr>
          <w:b w:val="false"/>
          <w:b w:val="false"/>
          <w:bCs w:val="false"/>
          <w:u w:val="none"/>
          <w:rtl w:val="true"/>
        </w:rPr>
        <w:t>חתול הבית</w:t>
      </w:r>
      <w:r>
        <w:rPr>
          <w:b w:val="false"/>
          <w:bCs w:val="false"/>
          <w:u w:val="none"/>
          <w:rtl w:val="true"/>
        </w:rPr>
        <w:t xml:space="preserve">".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ויקיפדיה</w:t>
      </w:r>
      <w:r>
        <w:rPr>
          <w:b w:val="false"/>
          <w:bCs w:val="false"/>
          <w:i/>
          <w:iCs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האינציקלופדיה החופשית</w:t>
      </w:r>
      <w:r>
        <w:rPr>
          <w:b w:val="false"/>
          <w:bCs w:val="false"/>
          <w:i/>
          <w:iCs/>
          <w:u w:val="none"/>
          <w:rtl w:val="true"/>
        </w:rPr>
        <w:t xml:space="preserve">. </w:t>
      </w:r>
      <w:r>
        <w:rPr>
          <w:b w:val="false"/>
          <w:bCs w:val="false"/>
          <w:i/>
          <w:iCs/>
          <w:u w:val="none"/>
        </w:rPr>
        <w:t>https://he.wikipedia.org/wiki</w:t>
      </w:r>
      <w:r>
        <w:rPr>
          <w:b w:val="false"/>
          <w:bCs w:val="false"/>
          <w:i/>
          <w:iCs/>
          <w:u w:val="none"/>
          <w:rtl w:val="true"/>
        </w:rPr>
        <w:t>/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חתול</w:t>
      </w:r>
      <w:r>
        <w:rPr>
          <w:b w:val="false"/>
          <w:bCs w:val="false"/>
          <w:i/>
          <w:iCs/>
          <w:u w:val="none"/>
          <w:rtl w:val="true"/>
        </w:rPr>
        <w:t>_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הבית</w:t>
      </w:r>
    </w:p>
    <w:sectPr>
      <w:headerReference w:type="even" r:id="rId2"/>
      <w:headerReference w:type="first" r:id="rId3"/>
      <w:footnotePr>
        <w:numFmt w:val="decimal"/>
      </w:footnote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imbus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/>
      </w:pPr>
      <w:r>
        <w:rPr>
          <w:rStyle w:val="FootnoteCharacters"/>
        </w:rPr>
        <w:footnoteRef/>
      </w:r>
      <w:r>
        <w:rPr>
          <w:rStyle w:val="Hyperlink"/>
          <w:i/>
          <w:iCs/>
          <w:u w:val="none"/>
          <w:rtl w:val="true"/>
        </w:rPr>
        <w:tab/>
        <w:t xml:space="preserve"> </w:t>
      </w:r>
      <w:hyperlink r:id="rId1">
        <w:r>
          <w:rPr>
            <w:rStyle w:val="Hyperlink"/>
            <w:i w:val="false"/>
            <w:iCs w:val="false"/>
            <w:u w:val="none"/>
            <w:rtl w:val="true"/>
          </w:rPr>
          <w:t>“</w:t>
        </w:r>
        <w:r>
          <w:rPr>
            <w:rStyle w:val="Hyperlink"/>
            <w:i w:val="false"/>
            <w:i w:val="false"/>
            <w:iCs w:val="false"/>
            <w:u w:val="none"/>
            <w:rtl w:val="true"/>
          </w:rPr>
          <w:t>חתול הבית</w:t>
        </w:r>
        <w:r>
          <w:rPr>
            <w:rStyle w:val="Hyperlink"/>
            <w:i w:val="false"/>
            <w:iCs w:val="false"/>
            <w:u w:val="none"/>
            <w:rtl w:val="true"/>
          </w:rPr>
          <w:t>".</w:t>
        </w:r>
      </w:hyperlink>
      <w:r>
        <w:rPr>
          <w:rStyle w:val="Hyperlink"/>
          <w:i w:val="false"/>
          <w:iCs w:val="false"/>
          <w:u w:val="none"/>
          <w:rtl w:val="true"/>
        </w:rPr>
        <w:t xml:space="preserve"> </w:t>
      </w:r>
      <w:r>
        <w:rPr>
          <w:rStyle w:val="Hyperlink"/>
          <w:i/>
          <w:i/>
          <w:iCs/>
          <w:u w:val="none"/>
          <w:rtl w:val="true"/>
        </w:rPr>
        <w:t>ויקיפדיה</w:t>
      </w:r>
      <w:r>
        <w:rPr>
          <w:rStyle w:val="Hyperlink"/>
          <w:i/>
          <w:iCs/>
          <w:u w:val="none"/>
          <w:rtl w:val="true"/>
        </w:rPr>
        <w:t xml:space="preserve">, </w:t>
      </w:r>
      <w:r>
        <w:rPr>
          <w:rStyle w:val="Hyperlink"/>
          <w:i/>
          <w:i/>
          <w:iCs/>
          <w:u w:val="none"/>
          <w:rtl w:val="true"/>
        </w:rPr>
        <w:t>האינציקלופדיה החופשית</w:t>
      </w:r>
      <w:r>
        <w:rPr>
          <w:rStyle w:val="Hyperlink"/>
          <w:i/>
          <w:iCs/>
          <w:u w:val="none"/>
          <w:rtl w:val="true"/>
        </w:rPr>
        <w:t xml:space="preserve">. </w:t>
      </w:r>
      <w:r>
        <w:rPr>
          <w:rStyle w:val="Hyperlink"/>
          <w:i/>
          <w:iCs/>
          <w:u w:val="none"/>
        </w:rPr>
        <w:t>https://he.wikipedia.org/wiki</w:t>
      </w:r>
      <w:r>
        <w:rPr>
          <w:rStyle w:val="Hyperlink"/>
          <w:i/>
          <w:iCs/>
          <w:u w:val="none"/>
          <w:rtl w:val="true"/>
        </w:rPr>
        <w:t>/</w:t>
      </w:r>
      <w:r>
        <w:rPr>
          <w:rStyle w:val="Hyperlink"/>
          <w:i/>
          <w:i/>
          <w:iCs/>
          <w:u w:val="none"/>
          <w:rtl w:val="true"/>
        </w:rPr>
        <w:t>חתול</w:t>
      </w:r>
      <w:r>
        <w:rPr>
          <w:rStyle w:val="Hyperlink"/>
          <w:i/>
          <w:iCs/>
          <w:u w:val="none"/>
          <w:rtl w:val="true"/>
        </w:rPr>
        <w:softHyphen/>
        <w:t>_</w:t>
      </w:r>
      <w:r>
        <w:rPr>
          <w:rStyle w:val="Hyperlink"/>
          <w:i/>
          <w:i/>
          <w:iCs/>
          <w:u w:val="none"/>
          <w:rtl w:val="true"/>
        </w:rPr>
        <w:t>הבית</w:t>
      </w:r>
    </w:p>
  </w:footnote>
  <w:footnote w:id="3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 xml:space="preserve">Saul A. Kripke, </w:t>
      </w:r>
      <w:r>
        <w:rPr>
          <w:rStyle w:val="Emphasis"/>
        </w:rPr>
        <w:t>Wittgenstein on Rules and Private Language: An Elementary Exposition</w:t>
      </w:r>
      <w:r>
        <w:rPr/>
        <w:t xml:space="preserve"> (Cambridge, MA: Harvard University Press, 1984), </w:t>
      </w:r>
      <w:r>
        <w:rPr/>
        <w:t>p. 17</w:t>
      </w:r>
    </w:p>
  </w:footnote>
  <w:footnote w:id="4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23</w:t>
      </w:r>
    </w:p>
  </w:footnote>
  <w:footnote w:id="5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</w:t>
      </w:r>
    </w:p>
  </w:footnote>
  <w:footnote w:id="6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p.26</w:t>
      </w:r>
    </w:p>
  </w:footnote>
  <w:footnote w:id="7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p.23</w:t>
      </w:r>
    </w:p>
  </w:footnote>
  <w:footnote w:id="8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</w:t>
      </w:r>
    </w:p>
  </w:footnote>
  <w:footnote w:id="9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>
          <w:i w:val="false"/>
          <w:iCs w:val="false"/>
        </w:rPr>
        <w:tab/>
        <w:t xml:space="preserve"> </w:t>
      </w:r>
      <w:r>
        <w:rPr>
          <w:i w:val="false"/>
          <w:iCs w:val="false"/>
        </w:rPr>
        <w:t xml:space="preserve">Brie Gertler, "In Defence of Mind-Body Dualism," in </w:t>
      </w:r>
      <w:r>
        <w:rPr>
          <w:rStyle w:val="Emphasis"/>
        </w:rPr>
        <w:t>Mind and Its Place in Nature,</w:t>
      </w:r>
      <w:r>
        <w:rPr>
          <w:i w:val="false"/>
          <w:iCs w:val="false"/>
        </w:rPr>
        <w:t xml:space="preserve"> ed. David Chalmers (Oxford University Press, 2002),  p. 318</w:t>
      </w:r>
    </w:p>
  </w:footnote>
  <w:footnote w:id="10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 xml:space="preserve">Kripke, </w:t>
      </w:r>
      <w:r>
        <w:rPr>
          <w:rStyle w:val="Emphasis"/>
        </w:rPr>
        <w:t>Wittgenstein on Rules and Private Language</w:t>
      </w:r>
      <w:r>
        <w:rPr>
          <w:rStyle w:val="Emphasis"/>
          <w:i w:val="false"/>
          <w:iCs w:val="false"/>
        </w:rPr>
        <w:t xml:space="preserve">, </w:t>
      </w:r>
      <w:r>
        <w:rPr>
          <w:rStyle w:val="Emphasis"/>
          <w:i w:val="false"/>
          <w:iCs w:val="false"/>
        </w:rPr>
        <w:t>p.39</w:t>
      </w:r>
    </w:p>
  </w:footnote>
  <w:footnote w:id="11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42</w:t>
      </w:r>
    </w:p>
  </w:footnote>
  <w:footnote w:id="12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p.44</w:t>
      </w:r>
    </w:p>
  </w:footnote>
  <w:footnote w:id="13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74</w:t>
      </w:r>
    </w:p>
  </w:footnote>
  <w:footnote w:id="14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p.86</w:t>
      </w:r>
    </w:p>
  </w:footnote>
  <w:footnote w:id="15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p.75</w:t>
      </w:r>
    </w:p>
  </w:footnote>
  <w:footnote w:id="16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 xml:space="preserve">Ibid. pp. </w:t>
      </w:r>
      <w:r>
        <w:rPr/>
        <w:t>77-8</w:t>
      </w:r>
    </w:p>
  </w:footnote>
  <w:footnote w:id="17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96</w:t>
      </w:r>
    </w:p>
  </w:footnote>
  <w:footnote w:id="18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79</w:t>
      </w:r>
    </w:p>
  </w:footnote>
  <w:footnote w:id="19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pp. 88-94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/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1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Noto Serif CJK SC" w:cs="Liberation Serif"/>
      <w:b/>
      <w:bCs/>
      <w:sz w:val="48"/>
      <w:szCs w:val="4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3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firstLine="58" w:left="0" w:right="0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3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Text">
    <w:name w:val="Footnote Text"/>
    <w:basedOn w:val="Normal"/>
    <w:pPr>
      <w:suppressLineNumbers/>
      <w:ind w:hanging="340" w:left="340" w:right="0"/>
    </w:pPr>
    <w:rPr>
      <w:rFonts w:ascii="Times New Roman" w:hAnsi="Times New Roman"/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Text">
    <w:name w:val="Endnote Text"/>
    <w:basedOn w:val="Normal"/>
    <w:pPr>
      <w:suppressLineNumbers/>
      <w:ind w:hanging="340" w:left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notes" Target="footnot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notes.xml.rels><?xml version="1.0" encoding="UTF-8"?>
<Relationships xmlns="http://schemas.openxmlformats.org/package/2006/relationships"><Relationship Id="rId1" Type="http://schemas.openxmlformats.org/officeDocument/2006/relationships/hyperlink" Target="https://he.wikipedia.org/wiki/&#1495;&#1514;&#1493;&#1500;_&#1492;&#1489;&#1497;&#1514;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3261</TotalTime>
  <Application>LibreOffice/24.2.1.2$Linux_X86_64 LibreOffice_project/420$Build-2</Application>
  <AppVersion>15.0000</AppVersion>
  <Pages>4</Pages>
  <Words>1332</Words>
  <Characters>6299</Characters>
  <CharactersWithSpaces>7656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2024-01-05T13:11:25Z</dcterms:created>
  <dc:creator/>
  <dc:description/>
  <dc:language>he-IL</dc:language>
  <cp:lastModifiedBy/>
  <dcterms:modified xsi:type="dcterms:W3CDTF">2024-03-15T18:31:05Z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