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bidi w:val="1"/>
        <w:ind w:left="0" w:right="0" w:hanging="0"/>
        <w:rPr/>
      </w:pPr>
      <w:r>
        <w:rPr>
          <w:rtl w:val="true"/>
        </w:rPr>
        <w:t xml:space="preserve">הדרך לחברה חופשית ונאורה היא חינוך אמפירי ואובייקטיבי </w:t>
      </w:r>
      <w:r>
        <w:rPr>
          <w:rtl w:val="true"/>
        </w:rPr>
        <w:t xml:space="preserve">- </w:t>
      </w:r>
      <w:r>
        <w:rPr>
          <w:rtl w:val="true"/>
        </w:rPr>
        <w:t>משוחרר מערכים</w:t>
      </w:r>
      <w:r>
        <w:rPr>
          <w:rtl w:val="true"/>
        </w:rPr>
        <w:t xml:space="preserve">, </w:t>
      </w:r>
      <w:r>
        <w:rPr>
          <w:rtl w:val="true"/>
        </w:rPr>
        <w:t>רעיונות</w:t>
      </w:r>
      <w:r>
        <w:rPr>
          <w:rtl w:val="true"/>
        </w:rPr>
        <w:t xml:space="preserve">, </w:t>
      </w:r>
      <w:r>
        <w:rPr>
          <w:rtl w:val="true"/>
        </w:rPr>
        <w:t>והשפעה זרה</w:t>
      </w:r>
      <w:r>
        <w:rPr>
          <w:rtl w:val="true"/>
        </w:rPr>
        <w:t xml:space="preserve">. </w:t>
      </w:r>
      <w:r>
        <w:rPr>
          <w:rtl w:val="true"/>
        </w:rPr>
        <w:t>כדי לבסס טענה זו</w:t>
      </w:r>
      <w:r>
        <w:rPr>
          <w:rtl w:val="true"/>
        </w:rPr>
        <w:t xml:space="preserve">, </w:t>
      </w:r>
      <w:r>
        <w:rPr>
          <w:rtl w:val="true"/>
        </w:rPr>
        <w:t>אפנה תחילה לחיבורה של איין ראנד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חינוך ציבורי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מתוך ספרה </w:t>
      </w:r>
      <w:r>
        <w:rPr>
          <w:i/>
          <w:i/>
          <w:iCs/>
          <w:rtl w:val="true"/>
        </w:rPr>
        <w:t>קפיטליזם – האידיאל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שם קובעת ראנד כי התערבותה של המדינה בתכנים וברעיונות ממיטה אסון על החברה החופשית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בהמשך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אחלוק על פתרונה המוצע של ראנד לבעיה זו – בדמות הפרטת החינוך לשוק החופשי – בהתבסס על מכתבו של קאנט</w:t>
      </w:r>
      <w:r>
        <w:rPr>
          <w:i w:val="false"/>
          <w:iCs w:val="false"/>
          <w:rtl w:val="true"/>
        </w:rPr>
        <w:t xml:space="preserve">, </w:t>
      </w:r>
      <w:r>
        <w:rPr>
          <w:i/>
          <w:i/>
          <w:iCs/>
          <w:rtl w:val="true"/>
        </w:rPr>
        <w:t>תשובה לשאלה – מהי נאורות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לאור כתבו של קאנט אטען כי בעייתו של החינוך אינו התערבות המדינה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אלא יומרתו של כל גורם סמכותי להכתיב את תכניו ורעיונותיו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המבוססת על סירובו של הפרט להשתמש בתבונתו שלו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לבסוף אטען כי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בכדי לממש את החינוך האיכותי שמבקשת ראנד בחברה הנאורה שמבקש קאנט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נדרש חינוך שעיסוקו בכלים מדידים ואובייקטיבים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אשר תכליתו לאפשר לפרט לממש את תבונתו באופן המלא ביותר – במשוחרר </w:t>
      </w:r>
      <w:r>
        <w:rPr>
          <w:i w:val="false"/>
          <w:i w:val="false"/>
          <w:iCs w:val="false"/>
          <w:rtl w:val="true"/>
        </w:rPr>
        <w:t>מהשפעתם</w:t>
      </w:r>
      <w:r>
        <w:rPr>
          <w:i w:val="false"/>
          <w:i w:val="false"/>
          <w:iCs w:val="false"/>
          <w:rtl w:val="true"/>
        </w:rPr>
        <w:t xml:space="preserve"> של אחרים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rtl w:val="true"/>
        </w:rPr>
        <w:t>“</w:t>
      </w:r>
      <w:r>
        <w:rPr>
          <w:rtl w:val="true"/>
        </w:rPr>
        <w:t xml:space="preserve">[…] </w:t>
      </w:r>
      <w:r>
        <w:rPr>
          <w:rtl w:val="true"/>
        </w:rPr>
        <w:t xml:space="preserve">מרגע שהממשלה מתערבת </w:t>
      </w:r>
      <w:r>
        <w:rPr>
          <w:rtl w:val="true"/>
        </w:rPr>
        <w:t>ב</w:t>
      </w:r>
      <w:r>
        <w:rPr>
          <w:rtl w:val="true"/>
        </w:rPr>
        <w:t>תחום ה</w:t>
      </w:r>
      <w:r>
        <w:rPr>
          <w:i/>
          <w:i/>
          <w:iCs/>
          <w:rtl w:val="true"/>
        </w:rPr>
        <w:t>רעיונות</w:t>
      </w:r>
      <w:r>
        <w:rPr>
          <w:rtl w:val="true"/>
        </w:rPr>
        <w:t xml:space="preserve">, </w:t>
      </w:r>
      <w:r>
        <w:rPr>
          <w:rtl w:val="true"/>
        </w:rPr>
        <w:t>משעה שהיא רואה בעצמה פוסקת בסוגיות הנוגעות ל</w:t>
      </w:r>
      <w:r>
        <w:rPr>
          <w:i/>
          <w:i/>
          <w:iCs/>
          <w:rtl w:val="true"/>
        </w:rPr>
        <w:t>תכנים</w:t>
      </w:r>
      <w:r>
        <w:rPr>
          <w:rtl w:val="true"/>
        </w:rPr>
        <w:t xml:space="preserve"> אינטלקטואלים</w:t>
      </w:r>
      <w:r>
        <w:rPr>
          <w:rtl w:val="true"/>
        </w:rPr>
        <w:t xml:space="preserve">, </w:t>
      </w:r>
      <w:r>
        <w:rPr>
          <w:rtl w:val="true"/>
        </w:rPr>
        <w:t>החברה החופשית אבודה</w:t>
      </w:r>
      <w:r>
        <w:rPr>
          <w:rtl w:val="true"/>
        </w:rPr>
        <w:t>"</w:t>
      </w:r>
      <w:r>
        <w:rPr>
          <w:rStyle w:val="FootnoteAnchor"/>
          <w:rtl w:val="true"/>
        </w:rPr>
        <w:footnoteReference w:id="2"/>
      </w:r>
      <w:r>
        <w:rPr>
          <w:rtl w:val="true"/>
        </w:rPr>
        <w:t xml:space="preserve">, </w:t>
      </w:r>
      <w:r>
        <w:rPr>
          <w:rtl w:val="true"/>
        </w:rPr>
        <w:t xml:space="preserve">קובעת איין ראנד במאמרה </w:t>
      </w:r>
      <w:r>
        <w:rPr>
          <w:i/>
          <w:i/>
          <w:iCs/>
          <w:rtl w:val="true"/>
        </w:rPr>
        <w:t>חינוך ציבורי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כנגד הדעה הרווחת </w:t>
      </w:r>
      <w:r>
        <w:rPr>
          <w:i w:val="false"/>
          <w:i w:val="false"/>
          <w:iCs w:val="false"/>
          <w:rtl w:val="true"/>
        </w:rPr>
        <w:t xml:space="preserve">לפיה </w:t>
      </w:r>
      <w:r>
        <w:rPr>
          <w:i w:val="false"/>
          <w:i w:val="false"/>
          <w:iCs w:val="false"/>
          <w:rtl w:val="true"/>
        </w:rPr>
        <w:t>החינוך הוא זכות מולדת ובסיסית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קובעת ראנד בתוקף ש</w:t>
      </w:r>
      <w:r>
        <w:rPr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אין מתנות חינם</w:t>
      </w:r>
      <w:r>
        <w:rPr>
          <w:i w:val="false"/>
          <w:iCs w:val="false"/>
          <w:rtl w:val="true"/>
        </w:rPr>
        <w:t>'</w:t>
      </w:r>
      <w:r>
        <w:rPr>
          <w:rStyle w:val="FootnoteAnchor"/>
          <w:i w:val="false"/>
          <w:iCs w:val="false"/>
          <w:rtl w:val="true"/>
        </w:rPr>
        <w:footnoteReference w:id="3"/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ושעמדה זו נובעת מרצונה של המדינה להעלות את חופש הפרט לזבח בשמו של המפעל המדיני</w:t>
      </w:r>
      <w:r>
        <w:rPr>
          <w:i w:val="false"/>
          <w:iCs w:val="false"/>
          <w:rtl w:val="true"/>
        </w:rPr>
        <w:t xml:space="preserve">.  </w:t>
      </w:r>
      <w:r>
        <w:rPr>
          <w:i w:val="false"/>
          <w:i w:val="false"/>
          <w:iCs w:val="false"/>
          <w:rtl w:val="true"/>
        </w:rPr>
        <w:t>התערבותה של המדינה בעולם הרעיונות והערכים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סבורה ראנד</w:t>
      </w:r>
      <w:r>
        <w:rPr>
          <w:i w:val="false"/>
          <w:iCs w:val="false"/>
          <w:rtl w:val="true"/>
        </w:rPr>
        <w:t>,</w:t>
      </w: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>הינה מפגן טוטליטרי מוחלט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המתבטא</w:t>
      </w:r>
      <w:r>
        <w:rPr>
          <w:i w:val="false"/>
          <w:i w:val="false"/>
          <w:iCs w:val="false"/>
          <w:rtl w:val="true"/>
        </w:rPr>
        <w:t xml:space="preserve"> בדרישתה של המדינה לממן את מערכת החינוך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עול המיסוי כופה על האזרחים לשלוח ילדיהם לחינוך בחסות המדינה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וזו דורשת את מלוא תמורת כספה במחיר נורא </w:t>
      </w:r>
      <w:r>
        <w:rPr>
          <w:i w:val="false"/>
          <w:iCs w:val="false"/>
          <w:rtl w:val="true"/>
        </w:rPr>
        <w:t xml:space="preserve">- </w:t>
      </w:r>
      <w:r>
        <w:rPr>
          <w:i w:val="false"/>
          <w:i w:val="false"/>
          <w:iCs w:val="false"/>
          <w:rtl w:val="true"/>
        </w:rPr>
        <w:t>שכלם של הילדים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החינוך המ</w:t>
      </w:r>
      <w:r>
        <w:rPr>
          <w:i w:val="false"/>
          <w:i w:val="false"/>
          <w:iCs w:val="false"/>
          <w:rtl w:val="true"/>
        </w:rPr>
        <w:t>משלתי</w:t>
      </w:r>
      <w:r>
        <w:rPr>
          <w:i w:val="false"/>
          <w:i w:val="false"/>
          <w:iCs w:val="false"/>
          <w:rtl w:val="true"/>
        </w:rPr>
        <w:t xml:space="preserve"> מתואר במאמרה של ראנד כ</w:t>
      </w:r>
      <w:r>
        <w:rPr>
          <w:i w:val="false"/>
          <w:i w:val="false"/>
          <w:iCs w:val="false"/>
          <w:rtl w:val="true"/>
        </w:rPr>
        <w:t>זרוע</w:t>
      </w:r>
      <w:r>
        <w:rPr>
          <w:i w:val="false"/>
          <w:i w:val="false"/>
          <w:iCs w:val="false"/>
          <w:rtl w:val="true"/>
        </w:rPr>
        <w:t xml:space="preserve"> נוס</w:t>
      </w:r>
      <w:r>
        <w:rPr>
          <w:i w:val="false"/>
          <w:i w:val="false"/>
          <w:iCs w:val="false"/>
          <w:rtl w:val="true"/>
        </w:rPr>
        <w:t>פת</w:t>
      </w:r>
      <w:r>
        <w:rPr>
          <w:i w:val="false"/>
          <w:i w:val="false"/>
          <w:iCs w:val="false"/>
          <w:rtl w:val="true"/>
        </w:rPr>
        <w:t xml:space="preserve"> של הגוף המדיני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ארגון ציני שמושא קרנו הינו צייתנות למדינה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</w:t>
      </w:r>
      <w:r>
        <w:rPr>
          <w:i w:val="false"/>
          <w:i w:val="false"/>
          <w:iCs w:val="false"/>
          <w:rtl w:val="true"/>
        </w:rPr>
        <w:t>מעמד ו</w:t>
      </w:r>
      <w:r>
        <w:rPr>
          <w:i w:val="false"/>
          <w:i w:val="false"/>
          <w:iCs w:val="false"/>
          <w:rtl w:val="true"/>
        </w:rPr>
        <w:t>ל</w:t>
      </w:r>
      <w:r>
        <w:rPr>
          <w:i w:val="false"/>
          <w:i w:val="false"/>
          <w:iCs w:val="false"/>
          <w:rtl w:val="true"/>
        </w:rPr>
        <w:t xml:space="preserve">יוקרה – </w:t>
      </w:r>
      <w:r>
        <w:rPr>
          <w:i w:val="false"/>
          <w:i w:val="false"/>
          <w:iCs w:val="false"/>
          <w:rtl w:val="true"/>
        </w:rPr>
        <w:t>ו</w:t>
      </w:r>
      <w:r>
        <w:rPr>
          <w:i w:val="false"/>
          <w:i w:val="false"/>
          <w:iCs w:val="false"/>
          <w:rtl w:val="true"/>
        </w:rPr>
        <w:t xml:space="preserve">לא החינוך </w:t>
      </w:r>
      <w:r>
        <w:rPr>
          <w:i w:val="false"/>
          <w:i w:val="false"/>
          <w:iCs w:val="false"/>
          <w:rtl w:val="true"/>
        </w:rPr>
        <w:t>או</w:t>
      </w:r>
      <w:r>
        <w:rPr>
          <w:i w:val="false"/>
          <w:i w:val="false"/>
          <w:iCs w:val="false"/>
          <w:rtl w:val="true"/>
        </w:rPr>
        <w:t xml:space="preserve"> היכולת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i w:val="false"/>
          <w:i w:val="false"/>
          <w:iCs w:val="false"/>
          <w:rtl w:val="true"/>
        </w:rPr>
        <w:t>ראנד קוראת תיגר על תכלית זו של חינוך בחסות המדינה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ומבקשת מערכת שאינה טרודה אלא באיכות החינוך שבכוחה לספק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היכן שמערכת החינוך המדינית היא מסואבת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מגושמת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ונגועה במניעים פוליטיים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חברתיים וטוטליטריים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חזונה של ראנד הוא חינוך תחרותי </w:t>
      </w:r>
      <w:r>
        <w:rPr>
          <w:i w:val="false"/>
          <w:i w:val="false"/>
          <w:iCs w:val="false"/>
          <w:rtl w:val="true"/>
        </w:rPr>
        <w:t>ו</w:t>
      </w:r>
      <w:r>
        <w:rPr>
          <w:i w:val="false"/>
          <w:i w:val="false"/>
          <w:iCs w:val="false"/>
          <w:rtl w:val="true"/>
        </w:rPr>
        <w:t>יעיל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</w:t>
      </w:r>
      <w:r>
        <w:rPr>
          <w:i w:val="false"/>
          <w:i w:val="false"/>
          <w:iCs w:val="false"/>
          <w:rtl w:val="true"/>
        </w:rPr>
        <w:t xml:space="preserve">מקדש את הביצועים </w:t>
      </w:r>
      <w:r>
        <w:rPr>
          <w:i w:val="false"/>
          <w:i w:val="false"/>
          <w:iCs w:val="false"/>
          <w:rtl w:val="true"/>
        </w:rPr>
        <w:t>האקדמאים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הדרך לחינוך שכזה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מאמינה ראנד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כרוכה בשחרור החינוך מ</w:t>
      </w:r>
      <w:r>
        <w:rPr>
          <w:i w:val="false"/>
          <w:i w:val="false"/>
          <w:iCs w:val="false"/>
          <w:rtl w:val="true"/>
        </w:rPr>
        <w:t>רסן</w:t>
      </w:r>
      <w:r>
        <w:rPr>
          <w:i w:val="false"/>
          <w:i w:val="false"/>
          <w:iCs w:val="false"/>
          <w:rtl w:val="true"/>
        </w:rPr>
        <w:t xml:space="preserve"> המדינה לשדותיו של השוק החופשי – שם מוסדות חינוך קיימים בזכות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ולא בחסדי המדינה</w:t>
      </w:r>
      <w:r>
        <w:rPr>
          <w:rStyle w:val="FootnoteAnchor"/>
          <w:i w:val="false"/>
          <w:i w:val="false"/>
          <w:iCs w:val="false"/>
          <w:rtl w:val="true"/>
        </w:rPr>
        <w:footnoteReference w:id="4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בהיעדר מניעיה הפוליטיים והחברתיים של המדינה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גורלם של בתי הספר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האוניברסיטאות ושאר מפעלי החינוך ייחתם באיכות ההוראה שהללו מציעים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הטובים מביניהם יימשכו סגל חינוכי איכותי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</w:t>
      </w:r>
      <w:r>
        <w:rPr>
          <w:i w:val="false"/>
          <w:i w:val="false"/>
          <w:iCs w:val="false"/>
          <w:rtl w:val="true"/>
        </w:rPr>
        <w:t>אלו</w:t>
      </w:r>
      <w:r>
        <w:rPr>
          <w:i w:val="false"/>
          <w:i w:val="false"/>
          <w:iCs w:val="false"/>
          <w:rtl w:val="true"/>
        </w:rPr>
        <w:t xml:space="preserve"> יימשכו אליהם את התלמידים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משוחררים מעול המיסוי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התלמידים והוריהם ייבחרו במוסדות המשקפים את ערכיהם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ועונים לדרישותיהם בצורה הטובה ביותר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מערכת החינוך תעוצב בצלמו של האזרח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ולא בצילה של המדינה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i w:val="false"/>
          <w:i w:val="false"/>
          <w:iCs w:val="false"/>
          <w:rtl w:val="true"/>
        </w:rPr>
        <w:t>נדמה שבבסיס הטיעון של ראנד ניצבת ההנחה הקפיטילסטית הנודעת ש</w:t>
      </w:r>
      <w:r>
        <w:rPr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השוק יעשה את שלו</w:t>
      </w:r>
      <w:r>
        <w:rPr>
          <w:i w:val="false"/>
          <w:iCs w:val="false"/>
          <w:rtl w:val="true"/>
        </w:rPr>
        <w:t xml:space="preserve">': </w:t>
      </w:r>
      <w:r>
        <w:rPr>
          <w:i w:val="false"/>
          <w:i w:val="false"/>
          <w:iCs w:val="false"/>
          <w:rtl w:val="true"/>
        </w:rPr>
        <w:t>בחופשי</w:t>
      </w:r>
      <w:r>
        <w:rPr>
          <w:i w:val="false"/>
          <w:i w:val="false"/>
          <w:iCs w:val="false"/>
          <w:rtl w:val="true"/>
        </w:rPr>
        <w:t xml:space="preserve"> ממשאלת המדינה לע</w:t>
      </w:r>
      <w:r>
        <w:rPr>
          <w:i w:val="false"/>
          <w:i w:val="false"/>
          <w:iCs w:val="false"/>
          <w:rtl w:val="true"/>
        </w:rPr>
        <w:t>י</w:t>
      </w:r>
      <w:r>
        <w:rPr>
          <w:i w:val="false"/>
          <w:i w:val="false"/>
          <w:iCs w:val="false"/>
          <w:rtl w:val="true"/>
        </w:rPr>
        <w:t>צ</w:t>
      </w:r>
      <w:r>
        <w:rPr>
          <w:i w:val="false"/>
          <w:i w:val="false"/>
          <w:iCs w:val="false"/>
          <w:rtl w:val="true"/>
        </w:rPr>
        <w:t>ו</w:t>
      </w:r>
      <w:r>
        <w:rPr>
          <w:i w:val="false"/>
          <w:i w:val="false"/>
          <w:iCs w:val="false"/>
          <w:rtl w:val="true"/>
        </w:rPr>
        <w:t>ב אזרח</w:t>
      </w:r>
      <w:r>
        <w:rPr>
          <w:i w:val="false"/>
          <w:i w:val="false"/>
          <w:iCs w:val="false"/>
          <w:rtl w:val="true"/>
        </w:rPr>
        <w:t>ים</w:t>
      </w:r>
      <w:r>
        <w:rPr>
          <w:i w:val="false"/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>ממושמעים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ודאי ש</w:t>
      </w:r>
      <w:r>
        <w:rPr>
          <w:i w:val="false"/>
          <w:i w:val="false"/>
          <w:iCs w:val="false"/>
          <w:rtl w:val="true"/>
        </w:rPr>
        <w:t>תקום מערכת נקייה מ</w:t>
      </w:r>
      <w:r>
        <w:rPr>
          <w:i w:val="false"/>
          <w:i w:val="false"/>
          <w:iCs w:val="false"/>
          <w:rtl w:val="true"/>
        </w:rPr>
        <w:t>מניעים</w:t>
      </w:r>
      <w:r>
        <w:rPr>
          <w:i w:val="false"/>
          <w:i w:val="false"/>
          <w:iCs w:val="false"/>
          <w:rtl w:val="true"/>
        </w:rPr>
        <w:t xml:space="preserve"> פוליטיים וחברתיים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על טהרת איכות החינוך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הנחה זו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לעניות דעתי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בעייתית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ראנד מתארת בצבעים עזים את רפיסותה של המערכת המדינית – בירוקרטית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מגושמת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בלתי יעילה ואינטרסנטית – לעומת יעילות</w:t>
      </w:r>
      <w:r>
        <w:rPr>
          <w:i w:val="false"/>
          <w:i w:val="false"/>
          <w:iCs w:val="false"/>
          <w:rtl w:val="true"/>
        </w:rPr>
        <w:t>ו</w:t>
      </w:r>
      <w:r>
        <w:rPr>
          <w:i w:val="false"/>
          <w:i w:val="false"/>
          <w:iCs w:val="false"/>
          <w:rtl w:val="true"/>
        </w:rPr>
        <w:t xml:space="preserve"> ועוצמ</w:t>
      </w:r>
      <w:r>
        <w:rPr>
          <w:i w:val="false"/>
          <w:i w:val="false"/>
          <w:iCs w:val="false"/>
          <w:rtl w:val="true"/>
        </w:rPr>
        <w:t>תו</w:t>
      </w:r>
      <w:r>
        <w:rPr>
          <w:i w:val="false"/>
          <w:i w:val="false"/>
          <w:iCs w:val="false"/>
          <w:rtl w:val="true"/>
        </w:rPr>
        <w:t xml:space="preserve"> של השוק החופשי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</w:t>
      </w:r>
      <w:r>
        <w:rPr>
          <w:i w:val="false"/>
          <w:i w:val="false"/>
          <w:iCs w:val="false"/>
          <w:rtl w:val="true"/>
        </w:rPr>
        <w:t>מונע על פי</w:t>
      </w:r>
      <w:r>
        <w:rPr>
          <w:i w:val="false"/>
          <w:i w:val="false"/>
          <w:iCs w:val="false"/>
          <w:rtl w:val="true"/>
        </w:rPr>
        <w:t xml:space="preserve"> רצון ה</w:t>
      </w:r>
      <w:r>
        <w:rPr>
          <w:i w:val="false"/>
          <w:i w:val="false"/>
          <w:iCs w:val="false"/>
          <w:rtl w:val="true"/>
        </w:rPr>
        <w:t>צרכנים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אלא שהמציאות אינה מתיישבת עם תיאור דיכוטומי זה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כשם שישנם ארגונים ממשלתיים עצלים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כך ישנן גם חברות פרטיות בלתי יעילות – הקיימות מכורח הנסיבות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היעדר תחרות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ואף שיפוט מוטעה של </w:t>
      </w:r>
      <w:r>
        <w:rPr>
          <w:i w:val="false"/>
          <w:i w:val="false"/>
          <w:iCs w:val="false"/>
          <w:rtl w:val="true"/>
        </w:rPr>
        <w:t>הציבור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מנגד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ישנם מפעלים ממשלתיים אשר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בזכות רשת הביטחון שמעניקה המדינה </w:t>
      </w:r>
      <w:r>
        <w:rPr>
          <w:i w:val="false"/>
          <w:i w:val="false"/>
          <w:iCs w:val="false"/>
          <w:rtl w:val="true"/>
        </w:rPr>
        <w:t>המסירה את חרב הרווחיות מצווארם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מגיעים להישגים יוצאי דופן – שלא היו מתאפשרים בשוק החופשי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ראנד מגנה בתוקף את מניעיה המוחלטים של המדינה – שליטה באזרחים – ובאותה נשימה מתירה את הרסן על חינוך </w:t>
      </w:r>
      <w:r>
        <w:rPr>
          <w:i/>
          <w:i/>
          <w:iCs/>
          <w:rtl w:val="true"/>
        </w:rPr>
        <w:t>למטרות רווח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מה מונע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איפוא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מן המפעלים הפרטיים לנהוג כמדינה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ולקדש את מניעיהם בניגוד לרצונם של האזרחים</w:t>
      </w:r>
      <w:r>
        <w:rPr>
          <w:i w:val="false"/>
          <w:iCs w:val="false"/>
          <w:rtl w:val="true"/>
        </w:rPr>
        <w:t>?</w:t>
      </w:r>
    </w:p>
    <w:p>
      <w:pPr>
        <w:pStyle w:val="Philosophy"/>
        <w:bidi w:val="1"/>
        <w:rPr/>
      </w:pPr>
      <w:r>
        <w:rPr>
          <w:i w:val="false"/>
          <w:i w:val="false"/>
          <w:iCs w:val="false"/>
          <w:rtl w:val="true"/>
        </w:rPr>
        <w:t xml:space="preserve">הבעיה שמתארת ראנד אינה בעיה </w:t>
      </w:r>
      <w:r>
        <w:rPr>
          <w:i/>
          <w:i/>
          <w:iCs/>
          <w:rtl w:val="true"/>
        </w:rPr>
        <w:t>מדינית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אלא בעיה </w:t>
      </w:r>
      <w:r>
        <w:rPr>
          <w:i/>
          <w:i/>
          <w:iCs/>
          <w:rtl w:val="true"/>
        </w:rPr>
        <w:t>אנושית</w:t>
      </w:r>
      <w:r>
        <w:rPr>
          <w:i/>
          <w:iCs/>
          <w:rtl w:val="true"/>
        </w:rPr>
        <w:t>:</w:t>
      </w: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>בין שבחסות המדינה ובין שבחסדי השוק החופשי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ארגונים גדולים נוטים לתעדף את הישרדותם ואת מניעיהם ה</w:t>
      </w:r>
      <w:r>
        <w:rPr>
          <w:i w:val="false"/>
          <w:i w:val="false"/>
          <w:iCs w:val="false"/>
          <w:rtl w:val="true"/>
        </w:rPr>
        <w:t>אנוכיים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ולאו דווקא את </w:t>
      </w:r>
      <w:r>
        <w:rPr>
          <w:i w:val="false"/>
          <w:i w:val="false"/>
          <w:iCs w:val="false"/>
          <w:rtl w:val="true"/>
        </w:rPr>
        <w:t>איכות השירות שהם מעניקים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כשם שראנד קובעת שאין יסוד מוסרי לחינוך בחסות המדינה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אבקש לטעון שאין יסוד מוסרי לחינוך בחסדי השוק החופשי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כשם שהמדינה עלולה לתעדף רעיונות מדיניים על פני חינוך ראוי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הארגונים הפרטיים עלולים לתעדף רעיונות פופוליסטיים בשם הרווח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שניהם</w:t>
      </w:r>
      <w:r>
        <w:rPr>
          <w:i w:val="false"/>
          <w:i w:val="false"/>
          <w:iCs w:val="false"/>
          <w:rtl w:val="true"/>
        </w:rPr>
        <w:t xml:space="preserve"> נגועים במניעים זרים</w:t>
      </w:r>
      <w:r>
        <w:rPr>
          <w:i w:val="false"/>
          <w:iCs w:val="false"/>
          <w:rtl w:val="true"/>
        </w:rPr>
        <w:t xml:space="preserve">. </w:t>
      </w:r>
      <w:r>
        <w:rPr>
          <w:i/>
          <w:i/>
          <w:iCs/>
          <w:rtl w:val="true"/>
        </w:rPr>
        <w:t>זו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לעניות דעתי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עיקר הבעיה – ולא זהותו של הגורם המממן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כשם שהבעיה אינה מדינית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כך גם הפתרון אינו מדיני – אלא פתרון אנושי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שחרורו המוחלט של החינוך ממניעים זרים</w:t>
      </w:r>
      <w:r>
        <w:rPr>
          <w:i w:val="false"/>
          <w:iCs w:val="false"/>
          <w:rtl w:val="true"/>
        </w:rPr>
        <w:t xml:space="preserve">. </w:t>
      </w:r>
    </w:p>
    <w:p>
      <w:pPr>
        <w:pStyle w:val="Philosophy"/>
        <w:bidi w:val="1"/>
        <w:rPr/>
      </w:pP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 xml:space="preserve">במכתבו </w:t>
      </w:r>
      <w:r>
        <w:rPr>
          <w:i/>
          <w:i/>
          <w:iCs/>
          <w:rtl w:val="true"/>
        </w:rPr>
        <w:t>תשובה לשאלה – מהי נאורות</w:t>
      </w:r>
      <w:r>
        <w:rPr>
          <w:i/>
          <w:iCs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קאנט מציב </w:t>
      </w:r>
      <w:r>
        <w:rPr>
          <w:i w:val="false"/>
          <w:i w:val="false"/>
          <w:iCs w:val="false"/>
          <w:rtl w:val="true"/>
        </w:rPr>
        <w:t>אף הוא</w:t>
      </w:r>
      <w:r>
        <w:rPr>
          <w:i w:val="false"/>
          <w:i w:val="false"/>
          <w:iCs w:val="false"/>
          <w:rtl w:val="true"/>
        </w:rPr>
        <w:t xml:space="preserve"> את השחרור ממניעים זרים כתנאי לחברה נאורה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האדם ניחן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לדידו של קאנט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בתבונה טבעית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אך זו נותרת נצורה בצילן של אינספור דמויות סמכות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אשר בפיהן דרישה משותפת אחת – אל תתווכח</w:t>
      </w:r>
      <w:r>
        <w:rPr>
          <w:rStyle w:val="FootnoteAnchor"/>
          <w:i w:val="false"/>
          <w:i w:val="false"/>
          <w:iCs w:val="false"/>
          <w:rtl w:val="true"/>
        </w:rPr>
        <w:footnoteReference w:id="5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החוק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הדת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ואף החברה כולה שואפים כולם לקדם את מניעיהם הפרטניים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ומציבים עצמם כאפוטרופוסיו האציליים של הפרט בבואם לממש שאיפות אלו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בעוד שקל לראות טענות אלו כהרחבת מעגל האשמים של ראנד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ההיפך הוא הנכון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 xml:space="preserve">היכן שראנד מפנה אצבע מאשימה </w:t>
      </w:r>
      <w:r>
        <w:rPr>
          <w:i/>
          <w:i/>
          <w:iCs/>
          <w:rtl w:val="true"/>
        </w:rPr>
        <w:t>החוצה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 הממסד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קאנט מפנה אותה </w:t>
      </w:r>
      <w:r>
        <w:rPr>
          <w:i/>
          <w:i/>
          <w:iCs/>
          <w:rtl w:val="true"/>
        </w:rPr>
        <w:t>פנימה</w:t>
      </w:r>
      <w:r>
        <w:rPr>
          <w:i w:val="false"/>
          <w:i w:val="false"/>
          <w:iCs w:val="false"/>
          <w:rtl w:val="true"/>
        </w:rPr>
        <w:t xml:space="preserve"> – אל האדם עצמו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i w:val="false"/>
          <w:i w:val="false"/>
          <w:iCs w:val="false"/>
          <w:rtl w:val="true"/>
        </w:rPr>
        <w:t xml:space="preserve">היכן שראנד טוענת שאין </w:t>
      </w:r>
      <w:r>
        <w:rPr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מתנות חינם</w:t>
      </w:r>
      <w:r>
        <w:rPr>
          <w:i w:val="false"/>
          <w:iCs w:val="false"/>
          <w:rtl w:val="true"/>
        </w:rPr>
        <w:t xml:space="preserve">', </w:t>
      </w:r>
      <w:r>
        <w:rPr>
          <w:i w:val="false"/>
          <w:i w:val="false"/>
          <w:iCs w:val="false"/>
          <w:rtl w:val="true"/>
        </w:rPr>
        <w:t>קאנט קובע כי האדם מטבעו ניחן בתבונה טבעית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אך למרבה התסכול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הלה בוחר – מפאת העצלנות והפחדנות – שלא לפעול על פיה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ולהאציל מלאכה טורדנית זו על כל מי שיסכים לקבלה</w:t>
      </w:r>
      <w:r>
        <w:rPr>
          <w:rStyle w:val="FootnoteAnchor"/>
          <w:i w:val="false"/>
          <w:i w:val="false"/>
          <w:iCs w:val="false"/>
          <w:rtl w:val="true"/>
        </w:rPr>
        <w:footnoteReference w:id="6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מדוע עליי לחשוב כאשר בכוחי לשלם לאחר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שיפרוק מעליי עול זה</w:t>
      </w:r>
      <w:r>
        <w:rPr>
          <w:i w:val="false"/>
          <w:iCs w:val="false"/>
          <w:rtl w:val="true"/>
        </w:rPr>
        <w:t xml:space="preserve">? </w:t>
      </w:r>
      <w:r>
        <w:rPr>
          <w:i w:val="false"/>
          <w:i w:val="false"/>
          <w:iCs w:val="false"/>
          <w:rtl w:val="true"/>
        </w:rPr>
        <w:t>הטבע משחרר את האדם מהשפעה זרה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והלה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משיקולי נוחות אלו – מוסר אותם בשמחה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אלו הנוטלים סמכות זו מתארים את השכילה העצמאית כהרת סכנות ורווית קשיים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ובכך מבייתים את ההמונים ומשמרים את סמכותם החדשה</w:t>
      </w:r>
      <w:r>
        <w:rPr>
          <w:i w:val="false"/>
          <w:iCs w:val="false"/>
          <w:rtl w:val="true"/>
        </w:rPr>
        <w:t>.</w:t>
      </w:r>
    </w:p>
    <w:p>
      <w:pPr>
        <w:pStyle w:val="Philosophy"/>
        <w:bidi w:val="1"/>
        <w:rPr/>
      </w:pPr>
      <w:r>
        <w:rPr>
          <w:i w:val="false"/>
          <w:i w:val="false"/>
          <w:iCs w:val="false"/>
          <w:rtl w:val="true"/>
        </w:rPr>
        <w:t>הנאורות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קובע קאנט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היא היציאה מילדותיות רצונית זו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ושימוש עצמאי בשכל בהיעדר הנחייתם של אחרים</w:t>
      </w:r>
      <w:r>
        <w:rPr>
          <w:rStyle w:val="FootnoteAnchor"/>
          <w:i w:val="false"/>
          <w:i w:val="false"/>
          <w:iCs w:val="false"/>
          <w:rtl w:val="true"/>
        </w:rPr>
        <w:footnoteReference w:id="7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הנאורות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וכיוצא בזאת החינוך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עולים כעת כעניין אישי גרידא – השלת השפעתה הזרה של הסמכות וחשיבה בחסות העצמי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ולא בחסותו של אחר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החינוך הוא האומץ לעשות את הצעד המפחיד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המגושם והמאתגר של שכילה עצמאית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וכך להקים חברה נאורה וחופשית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מהפכות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דוגמת זו שמתארת ראנד שיחולל החינוך הפרטי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אינה אלא השלתו של רסן אחד לטובת אחר – ואין בכוחן ליצור שינוי אמיתי בדפוס המחשבה הילדותי</w:t>
      </w:r>
      <w:r>
        <w:rPr>
          <w:rStyle w:val="FootnoteAnchor"/>
          <w:i w:val="false"/>
          <w:i w:val="false"/>
          <w:iCs w:val="false"/>
          <w:rtl w:val="true"/>
        </w:rPr>
        <w:footnoteReference w:id="8"/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הפתרון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קובע קאנט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פשוט מאין כמותו</w:t>
      </w:r>
      <w:r>
        <w:rPr>
          <w:i w:val="false"/>
          <w:iCs w:val="false"/>
          <w:rtl w:val="true"/>
        </w:rPr>
        <w:t xml:space="preserve">. </w:t>
      </w:r>
      <w:r>
        <w:rPr>
          <w:i/>
          <w:iCs/>
        </w:rPr>
        <w:t>Sapere aude</w:t>
      </w:r>
      <w:r>
        <w:rPr>
          <w:i/>
          <w:iCs/>
          <w:rtl w:val="true"/>
        </w:rPr>
        <w:t xml:space="preserve"> – </w:t>
      </w:r>
      <w:r>
        <w:rPr>
          <w:i/>
          <w:i/>
          <w:iCs/>
          <w:rtl w:val="true"/>
        </w:rPr>
        <w:t>העז לדעת</w:t>
      </w:r>
      <w:r>
        <w:rPr>
          <w:i/>
          <w:iCs/>
          <w:rtl w:val="true"/>
        </w:rPr>
        <w:t>!</w:t>
      </w:r>
    </w:p>
    <w:p>
      <w:pPr>
        <w:pStyle w:val="Philosophy"/>
        <w:bidi w:val="1"/>
        <w:rPr/>
      </w:pP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>השחרור ממניעים זרים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לפי קאנט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הוא השכילה העצמאית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שחרורו המוחלט של החינוך ממניעים זרים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איפוא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כרוך בהקמתה של מערכת חינוכית אשר אינה מתיימרת להנחות את התלמידים – אלא לאפשר להם לחשוב בחסות עצמם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 xml:space="preserve">לחינוך מסוג זה </w:t>
      </w:r>
      <w:r>
        <w:rPr>
          <w:i w:val="false"/>
          <w:iCs w:val="false"/>
          <w:rtl w:val="true"/>
        </w:rPr>
        <w:t xml:space="preserve">- </w:t>
      </w:r>
      <w:r>
        <w:rPr>
          <w:i w:val="false"/>
          <w:i w:val="false"/>
          <w:iCs w:val="false"/>
          <w:rtl w:val="true"/>
        </w:rPr>
        <w:t xml:space="preserve">שתכליתו </w:t>
      </w:r>
      <w:r>
        <w:rPr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חימוש</w:t>
      </w:r>
      <w:r>
        <w:rPr>
          <w:i w:val="false"/>
          <w:iCs w:val="false"/>
          <w:rtl w:val="true"/>
        </w:rPr>
        <w:t xml:space="preserve">' </w:t>
      </w:r>
      <w:r>
        <w:rPr>
          <w:i w:val="false"/>
          <w:i w:val="false"/>
          <w:iCs w:val="false"/>
          <w:rtl w:val="true"/>
        </w:rPr>
        <w:t xml:space="preserve">התלמידים בכלים לפיתוח מחשבתם </w:t>
      </w:r>
      <w:r>
        <w:rPr>
          <w:i w:val="false"/>
          <w:iCs w:val="false"/>
          <w:rtl w:val="true"/>
        </w:rPr>
        <w:t xml:space="preserve">- </w:t>
      </w:r>
      <w:r>
        <w:rPr>
          <w:i w:val="false"/>
          <w:i w:val="false"/>
          <w:iCs w:val="false"/>
          <w:rtl w:val="true"/>
        </w:rPr>
        <w:t>אין דבר וחצי דבר עם רעיונות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ערכים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או תכנים אינטקטואליים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עיסוקו הראוי הינו מקצועות אמפיריים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כוללניים ומוכחים – כאלו שרכישתם מנבאת הצלחה ורווחה בחיים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ולא כאלו שהמדינה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החברה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או כל גורם אחר מוצאים ל</w:t>
      </w:r>
      <w:r>
        <w:rPr>
          <w:i w:val="false"/>
          <w:iCs w:val="false"/>
          <w:rtl w:val="true"/>
        </w:rPr>
        <w:t>'</w:t>
      </w:r>
      <w:r>
        <w:rPr>
          <w:i w:val="false"/>
          <w:i w:val="false"/>
          <w:iCs w:val="false"/>
          <w:rtl w:val="true"/>
        </w:rPr>
        <w:t>נכון</w:t>
      </w:r>
      <w:r>
        <w:rPr>
          <w:i w:val="false"/>
          <w:iCs w:val="false"/>
          <w:rtl w:val="true"/>
        </w:rPr>
        <w:t xml:space="preserve">'. </w:t>
      </w:r>
      <w:r>
        <w:rPr>
          <w:i w:val="false"/>
          <w:i w:val="false"/>
          <w:iCs w:val="false"/>
          <w:rtl w:val="true"/>
        </w:rPr>
        <w:t>למקצועות דוגמת המתמטיקה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הלוגיקה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ושפות זרות לפי הצורך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למשל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אין יומרה להעביר שיפוט מוסרי כלשהו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אלא לרכוש יכולת אובייקטיבית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מקצועות דוגמת אלו לא ניתן לרכוש בהיעדר שכילה עצמאית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וערכם נמדד ביתרון שאלו מעניקים לתלמידיהם – ולא בתוצאה חברתית כזו או אחרת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את הערכים והרעיונות ניתן ורצוי ללמוד בבית – כל אחד כראות עיניו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אך תפקידו של החינוך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בין שמדיני ובין שפרטני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הוא מימוש תבונתם הטבעית והמולדת של התלמידים – ולא עיצובם לפי תבנית כזו או אחרת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כך תקום חברה חופשית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>חושבת – ונאורה</w:t>
      </w:r>
      <w:r>
        <w:rPr>
          <w:i w:val="false"/>
          <w:iCs w:val="false"/>
          <w:rtl w:val="true"/>
        </w:rPr>
        <w:t xml:space="preserve">. </w:t>
      </w:r>
    </w:p>
    <w:p>
      <w:pPr>
        <w:pStyle w:val="Philosophy"/>
        <w:bidi w:val="1"/>
        <w:rPr>
          <w:i w:val="false"/>
          <w:i w:val="false"/>
          <w:iCs w:val="false"/>
        </w:rPr>
      </w:pPr>
      <w:r>
        <w:rPr>
          <w:i w:val="false"/>
          <w:iCs w:val="false"/>
          <w:rtl w:val="true"/>
        </w:rPr>
      </w:r>
    </w:p>
    <w:p>
      <w:pPr>
        <w:pStyle w:val="Philosophy"/>
        <w:bidi w:val="1"/>
        <w:rPr/>
      </w:pPr>
      <w:r>
        <w:rPr>
          <w:rtl w:val="true"/>
        </w:rPr>
      </w:r>
      <w:r>
        <w:br w:type="page"/>
      </w:r>
    </w:p>
    <w:p>
      <w:pPr>
        <w:pStyle w:val="Philosophy"/>
        <w:bidi w:val="1"/>
        <w:jc w:val="center"/>
        <w:rPr>
          <w:b/>
          <w:b/>
          <w:bCs/>
          <w:u w:val="single"/>
        </w:rPr>
      </w:pPr>
      <w:r>
        <w:rPr>
          <w:b/>
          <w:b/>
          <w:bCs/>
          <w:u w:val="single"/>
          <w:rtl w:val="true"/>
        </w:rPr>
        <w:t>ביבליוגרפיה</w:t>
      </w:r>
    </w:p>
    <w:p>
      <w:pPr>
        <w:pStyle w:val="Philosophy"/>
        <w:bidi w:val="1"/>
        <w:jc w:val="center"/>
        <w:rPr/>
      </w:pPr>
      <w:r>
        <w:rPr>
          <w:rtl w:val="true"/>
        </w:rPr>
        <w:t>איין ראנד</w:t>
      </w:r>
      <w:r>
        <w:rPr>
          <w:rtl w:val="true"/>
        </w:rPr>
        <w:t xml:space="preserve">, </w:t>
      </w:r>
      <w:r>
        <w:rPr>
          <w:rtl w:val="true"/>
        </w:rPr>
        <w:t>אלן גרינספן</w:t>
      </w:r>
      <w:r>
        <w:rPr>
          <w:rtl w:val="true"/>
        </w:rPr>
        <w:t xml:space="preserve">, </w:t>
      </w:r>
      <w:r>
        <w:rPr>
          <w:rtl w:val="true"/>
        </w:rPr>
        <w:t xml:space="preserve">רוברט הסן ונתנאל ברנדן </w:t>
      </w:r>
      <w:r>
        <w:rPr>
          <w:rtl w:val="true"/>
        </w:rPr>
        <w:t xml:space="preserve">. </w:t>
      </w:r>
      <w:r>
        <w:rPr>
          <w:i/>
          <w:i/>
          <w:iCs/>
          <w:rtl w:val="true"/>
        </w:rPr>
        <w:t>קפיטליזם</w:t>
      </w:r>
      <w:r>
        <w:rPr>
          <w:i/>
          <w:iCs/>
          <w:rtl w:val="true"/>
        </w:rPr>
        <w:t xml:space="preserve">: </w:t>
      </w:r>
      <w:r>
        <w:rPr>
          <w:i/>
          <w:i/>
          <w:iCs/>
          <w:rtl w:val="true"/>
        </w:rPr>
        <w:t>האידיאל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תרגום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דוד כהן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עריכה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דניאלה כץ</w:t>
      </w:r>
      <w:r>
        <w:rPr>
          <w:i w:val="false"/>
          <w:iCs w:val="false"/>
          <w:rtl w:val="true"/>
        </w:rPr>
        <w:t xml:space="preserve">. </w:t>
      </w:r>
      <w:r>
        <w:rPr>
          <w:i w:val="false"/>
          <w:i w:val="false"/>
          <w:iCs w:val="false"/>
          <w:rtl w:val="true"/>
        </w:rPr>
        <w:t>אשקלון</w:t>
      </w:r>
      <w:r>
        <w:rPr>
          <w:i w:val="false"/>
          <w:iCs w:val="false"/>
          <w:rtl w:val="true"/>
        </w:rPr>
        <w:t xml:space="preserve">: </w:t>
      </w:r>
      <w:r>
        <w:rPr>
          <w:i w:val="false"/>
          <w:i w:val="false"/>
          <w:iCs w:val="false"/>
          <w:rtl w:val="true"/>
        </w:rPr>
        <w:t>סלע</w:t>
      </w:r>
      <w:r>
        <w:rPr>
          <w:i w:val="false"/>
          <w:iCs w:val="false"/>
          <w:rtl w:val="true"/>
        </w:rPr>
        <w:t>-</w:t>
      </w:r>
      <w:r>
        <w:rPr>
          <w:i w:val="false"/>
          <w:i w:val="false"/>
          <w:iCs w:val="false"/>
          <w:rtl w:val="true"/>
        </w:rPr>
        <w:t>מאיר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Cs w:val="false"/>
        </w:rPr>
        <w:t>2017</w:t>
      </w:r>
    </w:p>
    <w:p>
      <w:pPr>
        <w:pStyle w:val="Philosophy"/>
        <w:bidi w:val="0"/>
        <w:jc w:val="center"/>
        <w:rPr/>
      </w:pPr>
      <w:r>
        <w:rPr/>
        <w:t xml:space="preserve">Schmidt, James. </w:t>
      </w:r>
      <w:r>
        <w:rPr>
          <w:i/>
          <w:iCs/>
        </w:rPr>
        <w:t>What is Enlightenment?</w:t>
      </w:r>
      <w:r>
        <w:rPr>
          <w:i w:val="false"/>
          <w:iCs w:val="false"/>
        </w:rPr>
        <w:t>. Berkeley: University of California Press, 1996.</w:t>
      </w:r>
    </w:p>
    <w:p>
      <w:pPr>
        <w:pStyle w:val="Philosophy"/>
        <w:bidi w:val="0"/>
        <w:jc w:val="center"/>
        <w:rPr/>
      </w:pPr>
      <w:r>
        <w:rPr>
          <w:i w:val="false"/>
          <w:iCs w:val="false"/>
        </w:rPr>
        <w:t xml:space="preserve">Ayn Rand, </w:t>
      </w:r>
      <w:r>
        <w:rPr>
          <w:rFonts w:ascii="TIMES NEW ROMAN" w:hAnsi="TIMES NEW ROMAN"/>
          <w:i w:val="false"/>
          <w:iCs w:val="false"/>
        </w:rPr>
        <w:t xml:space="preserve">Alan Greenspan, </w:t>
      </w:r>
      <w:r>
        <w:rPr>
          <w:rFonts w:ascii="TIMES NEW ROMAN" w:hAnsi="TIMES NEW ROMAN"/>
          <w:i w:val="false"/>
          <w:iCs w:val="false"/>
        </w:rPr>
        <w:t xml:space="preserve">Robert Hessen and </w:t>
      </w:r>
      <w:r>
        <w:rPr>
          <w:rFonts w:ascii="TIMES NEW ROMAN" w:hAnsi="TIMES NEW ROMAN"/>
          <w:i w:val="false"/>
          <w:iCs w:val="false"/>
        </w:rPr>
        <w:t xml:space="preserve">Nathaniel Branden. </w:t>
      </w:r>
      <w:r>
        <w:rPr>
          <w:rFonts w:ascii="TIMES NEW ROMAN" w:hAnsi="TIMES NEW ROMAN"/>
          <w:i/>
          <w:iCs/>
        </w:rPr>
        <w:t xml:space="preserve">Capitalism: The Unknown Ideal. </w:t>
      </w:r>
      <w:r>
        <w:rPr>
          <w:rFonts w:ascii="TIMES NEW ROMAN" w:hAnsi="TIMES NEW ROMAN"/>
          <w:i w:val="false"/>
          <w:iCs w:val="false"/>
        </w:rPr>
        <w:t xml:space="preserve"> New York: Signet, 1986.</w:t>
      </w:r>
    </w:p>
    <w:p>
      <w:pPr>
        <w:pStyle w:val="Philosophy"/>
        <w:bidi w:val="0"/>
        <w:jc w:val="center"/>
        <w:rPr>
          <w:rFonts w:ascii="TIMES NEW ROMAN" w:hAnsi="TIMES NEW ROMAN"/>
          <w:i/>
          <w:i/>
          <w:iCs/>
        </w:rPr>
      </w:pPr>
      <w:r>
        <w:rPr/>
      </w:r>
    </w:p>
    <w:sectPr>
      <w:footnotePr>
        <w:numFmt w:val="decimal"/>
      </w:footnote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TIMES NEW ROMAN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suppressLineNumbers/>
        <w:bidi w:val="1"/>
        <w:ind w:left="340" w:right="0" w:hanging="340"/>
        <w:jc w:val="left"/>
        <w:rPr>
          <w:rFonts w:cs="David CLM"/>
        </w:rPr>
      </w:pPr>
      <w:r>
        <w:rPr>
          <w:rStyle w:val="FootnoteCharacters"/>
        </w:rPr>
        <w:footnoteRef/>
      </w:r>
      <w:r>
        <w:rPr>
          <w:rFonts w:cs="David CLM"/>
          <w:rtl w:val="true"/>
        </w:rPr>
        <w:tab/>
        <w:t>ראנד</w:t>
      </w:r>
      <w:r>
        <w:rPr>
          <w:rFonts w:cs="David CLM"/>
          <w:rtl w:val="true"/>
        </w:rPr>
        <w:t xml:space="preserve">, </w:t>
      </w:r>
      <w:r>
        <w:rPr>
          <w:rFonts w:cs="David CLM"/>
          <w:rtl w:val="true"/>
        </w:rPr>
        <w:t>איין</w:t>
      </w:r>
      <w:r>
        <w:rPr>
          <w:rFonts w:cs="David CLM"/>
          <w:rtl w:val="true"/>
        </w:rPr>
        <w:t xml:space="preserve">. </w:t>
      </w:r>
      <w:r>
        <w:rPr>
          <w:rFonts w:cs="David CLM"/>
          <w:i/>
          <w:i/>
          <w:iCs/>
          <w:rtl w:val="true"/>
        </w:rPr>
        <w:t xml:space="preserve">חינוך </w:t>
      </w:r>
      <w:r>
        <w:rPr>
          <w:rFonts w:cs="David CLM"/>
          <w:i w:val="false"/>
          <w:i w:val="false"/>
          <w:iCs w:val="false"/>
          <w:rtl w:val="true"/>
        </w:rPr>
        <w:t>ציבורי</w:t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rFonts w:cs="David CLM"/>
          <w:i w:val="false"/>
          <w:i w:val="false"/>
          <w:iCs w:val="false"/>
          <w:rtl w:val="true"/>
        </w:rPr>
        <w:t>בתוך</w:t>
      </w:r>
      <w:r>
        <w:rPr>
          <w:rFonts w:cs="David CLM"/>
          <w:i w:val="false"/>
          <w:iCs w:val="false"/>
          <w:rtl w:val="true"/>
        </w:rPr>
        <w:t xml:space="preserve">: </w:t>
      </w:r>
      <w:r>
        <w:rPr>
          <w:rFonts w:cs="David CLM"/>
          <w:i/>
          <w:i/>
          <w:iCs/>
          <w:rtl w:val="true"/>
        </w:rPr>
        <w:t>קפיטליזם – האידיאל</w:t>
      </w:r>
      <w:r>
        <w:rPr>
          <w:rFonts w:cs="David CLM"/>
          <w:i w:val="false"/>
          <w:iCs w:val="false"/>
          <w:rtl w:val="true"/>
        </w:rPr>
        <w:t xml:space="preserve">. </w:t>
      </w:r>
      <w:r>
        <w:rPr>
          <w:rFonts w:cs="David CLM"/>
          <w:i w:val="false"/>
          <w:i w:val="false"/>
          <w:iCs w:val="false"/>
          <w:rtl w:val="true"/>
        </w:rPr>
        <w:t>תר</w:t>
      </w:r>
      <w:r>
        <w:rPr>
          <w:rFonts w:cs="David CLM"/>
          <w:i w:val="false"/>
          <w:iCs w:val="false"/>
          <w:rtl w:val="true"/>
        </w:rPr>
        <w:t xml:space="preserve">' </w:t>
      </w:r>
      <w:r>
        <w:rPr>
          <w:rFonts w:cs="David CLM"/>
          <w:i w:val="false"/>
          <w:i w:val="false"/>
          <w:iCs w:val="false"/>
          <w:rtl w:val="true"/>
        </w:rPr>
        <w:t>דוד כהן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rFonts w:cs="David CLM"/>
          <w:i w:val="false"/>
          <w:i w:val="false"/>
          <w:iCs w:val="false"/>
          <w:rtl w:val="true"/>
        </w:rPr>
        <w:t>ער</w:t>
      </w:r>
      <w:r>
        <w:rPr>
          <w:rFonts w:cs="David CLM"/>
          <w:i w:val="false"/>
          <w:iCs w:val="false"/>
          <w:rtl w:val="true"/>
        </w:rPr>
        <w:t xml:space="preserve">' </w:t>
      </w:r>
      <w:r>
        <w:rPr>
          <w:rFonts w:cs="David CLM"/>
          <w:i w:val="false"/>
          <w:i w:val="false"/>
          <w:iCs w:val="false"/>
          <w:rtl w:val="true"/>
        </w:rPr>
        <w:t>דניאלה כץ</w:t>
      </w:r>
      <w:r>
        <w:rPr>
          <w:rFonts w:cs="David CLM"/>
          <w:i w:val="false"/>
          <w:iCs w:val="false"/>
          <w:rtl w:val="true"/>
        </w:rPr>
        <w:t>. (</w:t>
      </w:r>
      <w:r>
        <w:rPr>
          <w:rFonts w:cs="David CLM"/>
          <w:i w:val="false"/>
          <w:i w:val="false"/>
          <w:iCs w:val="false"/>
          <w:rtl w:val="true"/>
        </w:rPr>
        <w:t>אשקלון</w:t>
      </w:r>
      <w:r>
        <w:rPr>
          <w:rFonts w:cs="David CLM"/>
          <w:i w:val="false"/>
          <w:iCs w:val="false"/>
          <w:rtl w:val="true"/>
        </w:rPr>
        <w:t xml:space="preserve">: </w:t>
      </w:r>
      <w:r>
        <w:rPr>
          <w:rFonts w:cs="David CLM"/>
          <w:i w:val="false"/>
          <w:i w:val="false"/>
          <w:iCs w:val="false"/>
          <w:rtl w:val="true"/>
        </w:rPr>
        <w:t>סלע</w:t>
      </w:r>
      <w:r>
        <w:rPr>
          <w:rFonts w:cs="David CLM"/>
          <w:i w:val="false"/>
          <w:iCs w:val="false"/>
          <w:rtl w:val="true"/>
        </w:rPr>
        <w:t>-</w:t>
      </w:r>
      <w:r>
        <w:rPr>
          <w:rFonts w:cs="David CLM"/>
          <w:i w:val="false"/>
          <w:i w:val="false"/>
          <w:iCs w:val="false"/>
          <w:rtl w:val="true"/>
        </w:rPr>
        <w:t>מאיר</w:t>
      </w:r>
      <w:r>
        <w:rPr>
          <w:rFonts w:cs="David CLM"/>
          <w:i w:val="false"/>
          <w:iCs w:val="false"/>
          <w:rtl w:val="true"/>
        </w:rPr>
        <w:t xml:space="preserve">, </w:t>
      </w:r>
      <w:r>
        <w:rPr>
          <w:rFonts w:cs="David CLM"/>
          <w:i w:val="false"/>
          <w:iCs w:val="false"/>
        </w:rPr>
        <w:t>2017</w:t>
      </w:r>
      <w:r>
        <w:rPr>
          <w:rFonts w:cs="David CLM"/>
          <w:i w:val="false"/>
          <w:iCs w:val="false"/>
          <w:rtl w:val="true"/>
        </w:rPr>
        <w:t xml:space="preserve">). </w:t>
      </w:r>
      <w:r>
        <w:rPr>
          <w:rFonts w:cs="David CLM"/>
          <w:i w:val="false"/>
          <w:i w:val="false"/>
          <w:iCs w:val="false"/>
          <w:rtl w:val="true"/>
        </w:rPr>
        <w:t>עמ</w:t>
      </w:r>
      <w:r>
        <w:rPr>
          <w:rFonts w:cs="David CLM"/>
          <w:i w:val="false"/>
          <w:iCs w:val="false"/>
          <w:rtl w:val="true"/>
        </w:rPr>
        <w:t xml:space="preserve">' </w:t>
      </w:r>
      <w:r>
        <w:rPr>
          <w:rFonts w:cs="David CLM"/>
          <w:i w:val="false"/>
          <w:iCs w:val="false"/>
        </w:rPr>
        <w:t>114</w:t>
      </w:r>
      <w:r>
        <w:rPr>
          <w:rFonts w:cs="David CLM"/>
          <w:i w:val="false"/>
          <w:iCs w:val="false"/>
          <w:rtl w:val="true"/>
        </w:rPr>
        <w:t>.</w:t>
      </w:r>
    </w:p>
  </w:footnote>
  <w:footnote w:id="3">
    <w:p>
      <w:pPr>
        <w:pStyle w:val="Footnote"/>
        <w:suppressLineNumbers/>
        <w:bidi w:val="0"/>
        <w:ind w:left="340" w:right="0" w:hanging="340"/>
        <w:jc w:val="left"/>
        <w:rPr>
          <w:rFonts w:ascii="TIMES NEW ROMAN" w:hAnsi="TIMES NEW ROMAN"/>
        </w:rPr>
      </w:pPr>
      <w:r>
        <w:rPr>
          <w:rStyle w:val="FootnoteCharacters"/>
        </w:rPr>
        <w:footnoteRef/>
      </w:r>
      <w:r>
        <w:rPr>
          <w:rFonts w:ascii="TIMES NEW ROMAN" w:hAnsi="TIMES NEW ROMAN"/>
        </w:rPr>
        <w:tab/>
        <w:t xml:space="preserve">Rand, Ayn </w:t>
      </w:r>
      <w:r>
        <w:rPr>
          <w:rFonts w:ascii="TIMES NEW ROMAN" w:hAnsi="TIMES NEW ROMAN"/>
          <w:i/>
          <w:iCs/>
        </w:rPr>
        <w:t xml:space="preserve">Public Education. </w:t>
      </w:r>
      <w:r>
        <w:rPr>
          <w:rFonts w:ascii="TIMES NEW ROMAN" w:hAnsi="TIMES NEW ROMAN"/>
          <w:i w:val="false"/>
          <w:iCs w:val="false"/>
        </w:rPr>
        <w:t xml:space="preserve">In </w:t>
      </w:r>
      <w:r>
        <w:rPr>
          <w:rFonts w:ascii="TIMES NEW ROMAN" w:hAnsi="TIMES NEW ROMAN"/>
          <w:i/>
          <w:iCs/>
        </w:rPr>
        <w:t>Capitalism: The Unk</w:t>
      </w:r>
      <w:r>
        <w:rPr>
          <w:rFonts w:ascii="TIMES NEW ROMAN" w:hAnsi="TIMES NEW ROMAN"/>
          <w:i/>
          <w:iCs/>
        </w:rPr>
        <w:t>n</w:t>
      </w:r>
      <w:r>
        <w:rPr>
          <w:rFonts w:ascii="TIMES NEW ROMAN" w:hAnsi="TIMES NEW ROMAN"/>
          <w:i/>
          <w:iCs/>
        </w:rPr>
        <w:t>own Ideal.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(New York: Signet, 1986)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i w:val="false"/>
          <w:iCs w:val="false"/>
        </w:rPr>
        <w:t>p. 168</w:t>
      </w:r>
    </w:p>
  </w:footnote>
  <w:footnote w:id="4">
    <w:p>
      <w:pPr>
        <w:pStyle w:val="Footnote"/>
        <w:suppressLineNumbers/>
        <w:bidi w:val="0"/>
        <w:ind w:left="340" w:right="0" w:hanging="340"/>
        <w:jc w:val="left"/>
        <w:rPr/>
      </w:pPr>
      <w:r>
        <w:rPr>
          <w:rStyle w:val="FootnoteCharacters"/>
        </w:rPr>
        <w:footnoteRef/>
      </w:r>
      <w:r>
        <w:rPr/>
        <w:tab/>
        <w:t>Ibid. p. 168</w:t>
      </w:r>
    </w:p>
  </w:footnote>
  <w:footnote w:id="5">
    <w:p>
      <w:pPr>
        <w:pStyle w:val="Footnote"/>
        <w:suppressLineNumbers/>
        <w:bidi w:val="0"/>
        <w:ind w:left="340" w:right="0" w:hanging="340"/>
        <w:jc w:val="left"/>
        <w:rPr/>
      </w:pPr>
      <w:r>
        <w:rPr>
          <w:rStyle w:val="FootnoteCharacters"/>
        </w:rPr>
        <w:footnoteRef/>
      </w:r>
      <w:r>
        <w:rPr/>
        <w:tab/>
        <w:t xml:space="preserve">Kant, </w:t>
      </w:r>
      <w:r>
        <w:rPr>
          <w:i/>
          <w:iCs/>
        </w:rPr>
        <w:t>An Answer to the Question: What is Enlightenment?</w:t>
      </w:r>
      <w:r>
        <w:rPr>
          <w:i w:val="false"/>
          <w:iCs w:val="false"/>
        </w:rPr>
        <w:t xml:space="preserve">. In </w:t>
      </w:r>
      <w:r>
        <w:rPr>
          <w:i/>
          <w:iCs/>
        </w:rPr>
        <w:t>What is Enlightenment?.</w:t>
      </w:r>
      <w:r>
        <w:rPr>
          <w:i w:val="false"/>
          <w:iCs w:val="false"/>
        </w:rPr>
        <w:t xml:space="preserve"> Tr. James Schmidt (Berkeley: University of California Press, 1996). p.59</w:t>
      </w:r>
    </w:p>
  </w:footnote>
  <w:footnote w:id="6">
    <w:p>
      <w:pPr>
        <w:pStyle w:val="Footnote"/>
        <w:suppressLineNumbers/>
        <w:bidi w:val="0"/>
        <w:ind w:left="340" w:right="0" w:hanging="340"/>
        <w:jc w:val="left"/>
        <w:rPr/>
      </w:pPr>
      <w:r>
        <w:rPr>
          <w:rStyle w:val="FootnoteCharacters"/>
        </w:rPr>
        <w:footnoteRef/>
      </w:r>
      <w:r>
        <w:rPr/>
        <w:tab/>
        <w:t>Ibid. p.58, para. II</w:t>
      </w:r>
    </w:p>
  </w:footnote>
  <w:footnote w:id="7">
    <w:p>
      <w:pPr>
        <w:pStyle w:val="Footnote"/>
        <w:suppressLineNumbers/>
        <w:bidi w:val="0"/>
        <w:ind w:left="340" w:right="0" w:hanging="340"/>
        <w:jc w:val="left"/>
        <w:rPr/>
      </w:pPr>
      <w:r>
        <w:rPr>
          <w:rStyle w:val="FootnoteCharacters"/>
        </w:rPr>
        <w:footnoteRef/>
      </w:r>
      <w:r>
        <w:rPr/>
        <w:tab/>
        <w:t>Ibid. p.58, para. I</w:t>
      </w:r>
    </w:p>
  </w:footnote>
  <w:footnote w:id="8">
    <w:p>
      <w:pPr>
        <w:pStyle w:val="Footnote"/>
        <w:suppressLineNumbers/>
        <w:bidi w:val="0"/>
        <w:ind w:left="340" w:right="0" w:hanging="340"/>
        <w:jc w:val="left"/>
        <w:rPr/>
      </w:pPr>
      <w:r>
        <w:rPr>
          <w:rStyle w:val="FootnoteCharacters"/>
        </w:rPr>
        <w:footnoteRef/>
      </w:r>
      <w:r>
        <w:rPr/>
        <w:tab/>
        <w:t>Ibid. p.59, para. IV</w:t>
      </w:r>
    </w:p>
  </w:footnote>
</w:footnotes>
</file>

<file path=word/settings.xml><?xml version="1.0" encoding="utf-8"?>
<w:settings xmlns:w="http://schemas.openxmlformats.org/wordprocessingml/2006/main">
  <w:zoom w:percent="11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/>
  </w:style>
  <w:style w:type="character" w:styleId="FootnoteAnchor">
    <w:name w:val="Footnote Anchor"/>
    <w:rPr>
      <w:vertAlign w:val="superscript"/>
    </w:rPr>
  </w:style>
  <w:style w:type="character" w:styleId="NumberingSymbols">
    <w:name w:val="Numbering Symbols"/>
    <w:qFormat/>
    <w:rPr/>
  </w:style>
  <w:style w:type="character" w:styleId="EndnoteAnchor">
    <w:name w:val="Endnote Anchor"/>
    <w:rPr>
      <w:vertAlign w:val="superscript"/>
    </w:rPr>
  </w:style>
  <w:style w:type="character" w:styleId="EndnoteCharacters">
    <w:name w:val="Endnote Character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Style14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left="0" w:right="0" w:firstLine="288"/>
      <w:contextualSpacing/>
      <w:jc w:val="left"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4"/>
    <w:qFormat/>
    <w:pPr>
      <w:bidi w:val="0"/>
      <w:spacing w:lineRule="auto" w:line="360"/>
      <w:jc w:val="both"/>
    </w:pPr>
    <w:rPr>
      <w:rFonts w:cs="David CLM"/>
      <w:bCs w:val="false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1007</TotalTime>
  <Application>LibreOffice/7.3.7.2$Linux_X86_64 LibreOffice_project/30$Build-2</Application>
  <AppVersion>15.0000</AppVersion>
  <Pages>4</Pages>
  <Words>1148</Words>
  <Characters>5855</Characters>
  <CharactersWithSpaces>7020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2023-08-17T19:17:52Z</dcterms:created>
  <dc:creator/>
  <dc:description/>
  <dc:language>en-US</dc:language>
  <cp:lastModifiedBy/>
  <dcterms:modified xsi:type="dcterms:W3CDTF">2023-08-23T21:45:45Z</dcterms:modified>
  <cp:revision>82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