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notes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אני קיים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אני נמצא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 רנה דקארט במה שהפך להיות אולי המשפט המפורסם ביותר בתולדות הפילוסופיה המערבית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</w:t>
      </w:r>
      <w:r>
        <w:rPr>
          <w:rFonts w:ascii="Times New Roman" w:hAnsi="Times New Roman" w:eastAsia="Noto Serif CJK SC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היגיונות על הפילוסופיה הראשונית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שם נכתב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 בפנינו דקארט כיצד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מתוך ספקנות קיצונית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אנו למדים כי מהותנו היא הנפש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צלם האלוהים שבנו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נשגבת על החומר – וחופשית עד בלי גבול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שדקארט אינו הראשון שהגיע למסקנות אלו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מאות שנים קודם לכן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בהודו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המחשבה האופנישדית הגיעה למסקנות דומות להפליא –וחרצו כי הנפש היא מקור השליטה והתפיסה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משום שהיא זהה – בקנה מידה קטן יותר – לאמת המוחלטת בבסיס היקום כולו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זה אשר יידע את נפשו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קבעו הברהאמנים ההודים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יידע את סודותיו הכמוסים ביותר של היקום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שטענות אלו דורשות ביאור – מהי בכלל אותה נפש נשגבת וחופשייה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מתוקף מה היא חופשייה מכל תלאות העולם החומרי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מה טיבו של אותו החופש בכלל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בהיעדר תשובות מספקות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ישנם אלו הדוחים מעליהם טענות אלו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הפאטאליסטים ההודים קובעים כי איננו חופשיים כלל – כל מה שקרה 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קורה לנו ויקרה לנו נכפה עלינו בידיי היקום – בין שאקראי לחלוטין ובין שקבוע מראש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ואנו חסרי אונים לחלוטין לשנות את גורלנו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4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האם זה באמת כל מה שיש 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חופש מוחלט ובלתי מוגבל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 כניעה מוחלטת לכורח המציאות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לאו דווקא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יש פתרון ביניים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שמציע אותו הבודהיזם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בחיבור זה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אסקור על סמך שני מאמרים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מאמרו של אסף פדרמן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  <w:t>What Kind of Free Will Did the Buddha Teach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ומאמרו של פיטר הארווי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, 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  <w:t>Freedom of the Will” in the Light of Theravāda Buddhist Teachings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לצד ספרות משנה נוספת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כמה זרמים מן התיאוריות בדבר הרצון החופשי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תחילה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אציג את עמדת הרצון החופשי המוחלט – כפי שמתוארת בפי דקארט והאופנישדים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בהמשך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אציג כנגדה את עמדת הפאטאליסטים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השוללים מכל וכל את הרצון החופשי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לאחר מכן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אציג את טיעוניו של הבודהיזם כנגד הגישות הללו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ואעמוד על ההסבר החלופי שהוא מציע – רצון חופשי קיים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לא בלתי מוגבל ובלתי מותנה – בדמות רעיון ההתהוות המותנית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ולבסוף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אעמוד על הרחבה מודרנית של עמדה זו – עמדתו של הפילוסוף דניאל דנט – ועל ההשלכות והחידושים שלה לצד הבודהיזם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במאמרו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פדרמן סוקר תחילה את עמדת הרצון החופשי המוחלט – לפיו הרצון החופשי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מספיק ומושלם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"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אינו כפוף לשום מגבלה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Style w:val="FootnoteReference"/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footnoteReference w:id="5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עמדה זו מוצגת במאמר משני מקורות מובחנים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הגותו של הפילוסוף רנה דקארט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והאופנישדות ההודיות שקדמו לבודהיזם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אשר דוגלים שניהם בעמדה לפיה הרצון החופשי מתומצת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מפי פדרמן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ככוח בעל שליטה מוחלטת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הנשגב מן החומר מתוקף שיוכו לנפש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6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בהגיונות על הפילוסופיה הראשונית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 דקארט את מהותו של האדם בתור הנפש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הברואה בצלם האל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ומייחס לה את הבחירה החופשית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דקארט מחלק את הדברים שישנם לשני סוגים בלבד – עצמים חומריים ועצמים נפשיים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7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לאור חלוקה זו הוא קובע כי לא ייתכן שנסיבות חיצוניות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חומריות במהותן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ישפיעו על הרצון החופשי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דבר רוחני במהותו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גוף הוא חומר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רוח היא 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והשניים נבדלים במהותם ובסיבתיות החלה עליהם לחלוטין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8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בהכירו שהחומר ארעי ובלתי קבוע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ולאור ספקנות קיצונית לאחריה נותר משולל כל זולת הידיעה כי הוא דבר חושב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9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 דקארט את הנפש כעליונה על החומר – וככזו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בלתי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מוגבלת בידיו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את יחסי הגומלין הללו – נפש כנגזרת מטבע המציאות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הנשגבת מן החומר וחולשת עליו – ניתן למצוא גם בקרב האופנישדים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האונטולוגיה האופנישדית קובעת כי בבסיס המציאות ישנה אמת מוחלטת – הברהאמן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בכל הדברים שישנם ישנו יסוד מן האמת המוחלטת הזו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נפש האדם – אטמן – ניחנת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בניגוד לשאר הדברים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גם בהכרה שהיא חלק מן הברהאמן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ובידיעה שהברהאמן הוא יסוד המציאות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0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את האטמן זיהו האופנישדים זיהוי מוחלט עם הברהאמן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ולכן סברו כי מי שיודע את האטמן – יודע את המציאות כולה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נבחר לזהות בין האטמן לנפש הקרטזיאנית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שפדרמן בוחר לעשות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הרי לנו שתי תמונות ראי של אותה העמדה ממש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כשם שהנפש הקרטזיאנית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הברואה בצלם האלוהים ונשגבת מן הסיבתיות החומרית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חופשייה לחלוטין מתוקף מהותה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כך גם האטמן האופנישדי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בהיותו אטמן – קרי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מודע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מוחלט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ובסיסי במרקם היקום – הרי שגם הוא אינו כפוף לשום מגבלה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זרמים אחרים בעולם המחשבה ההודי דחו לחלוטין את התפיסה האופנישדית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פדרמן והארווי מציגים בפנינו את הפאטאליסטים ההודים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אשר קבעו כי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אין סיבה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[…]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או תנאי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[…]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להשחתתם של יצורים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יצורים מושחתים בלי סיבה או תנאי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אין סיבה או תנאי לטיהורם של יצורים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יצורים מטוהרים בלי סיבה או תנאי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[..]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כל היצורים החיים חסרי שליטה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עצמה ואנרגיה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מעוצבים בידי הגורל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הנסיבות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והטבע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[...]”</w:t>
      </w:r>
      <w:r>
        <w:rPr>
          <w:rStyle w:val="FootnoteReference"/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footnoteReference w:id="11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הפאטאליסטים התבססו על מושג הקארמה – מעשה רצוני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מכוון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 הכוונה שניצבת בבסיס המעשה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2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אבן יסוד בעולם המחשבה ההודי אותה חלקו עם האופנישדים והבודהיסטים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כל מעשה מכוון שכזה גורר תוצאה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קארמה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)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ביקום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המתגוללת  על פני שלל זמנים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אופנים או השלכות על פי החוק הקארמי – המתגמל מעשים וכוונות טובות ומעניש מעשים וכוונות רעות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3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הפאטאליסטים ייחסו לחוק הקארמי עוצמה מוחלטת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הרצון 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המעשים 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החוויות שלנו כולן הן תוצאות של החוק הקארמי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ואינן נתונות לשליטתנו במאומה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4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כל דבר שנחווה – נעים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 נעים או ניטרלי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נובע רק מהקארמה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5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ולמעשה המציאות היא דטרמיניסטית 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קבועה מראש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לעומתו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זרם נוסף של הפאטאליזם קובע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שלא בהתבסס על הקארמה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כי המציאות הינה למעשה אינדטרמניסטית – חסרת כל סיבה ותנאי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ולמעשה מקרית לחלוטין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כך או כך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הפאטאליסטים סברו כי הרצון אינו 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חסר אונים לחלוטין בפני המציאות – בין  שנוקשה ובין שאקראית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כעת ניצבות בפנינו שתי עמדות בדבר הרצון החופשי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מחד גיסא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העמדה הקרטיזאנית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אופנישדית הקובעת רצון חופשי מוחלט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חסר גבולות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בעל כוח מוחלט על המציאות החומרית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ומאידך גיסא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העמדה הפאטאליסטית אשר קובעת אותו כקליפה ריקה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חסרת ערך בפני מאווי המציאות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את שתיהן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כמדומני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קשה מאוד לקבל – האם באמת אין גבול לכוח ולהשפעה של הרצון שלי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ומנגד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האם באמת הרצון שלי אינו אלא אשליה חלולה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למרבה המזל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הבודהה מציע בפנינו עמדה שלישית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דרך אמצע בין שתי העמדות הקיצוניות הללו – הלוא היא רצון 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לא בלתי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מוגבל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העמדה הבודהיסטית נשנעת על שני רעיונות מפתח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הם הההתהוות המותנית והאנאטמן – שלילת העצמי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בשאלות למלך מילנדה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אחד מטקסטי היסוד של הבודהיזם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מסופר על מילינדה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מלך ממלכת בקטריה במאה 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  <w:t>2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לפני הספירה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ועל שיחותיו עם הנזיר הבודהיסטי נגסנה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מילינדה מתואר כמחזיק בעמדה הפאטאליסטית בדבר הקארמה – לפיה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כל מה שנחווה מושרש בקארמה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Style w:val="FootnoteReference"/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footnoteReference w:id="16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לעומתו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נגסנה מתאר סיבות מגוונות אחרות להתהוותם של דברים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הוא מתאר כיצד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למשל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הרגש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העולם החיצון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ומחלות ופציעות כולם נובעים מסיבות נבדלות לחלוטין מן הקארמה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ואף קובע כי הקארמה אינה ניצבת בבסיס רוב הדברים שקורים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7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הנוסחה שמציע נגסנה לעומת עמדתו של מילינדה היא ההתהוות המותנית 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לפיה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כאשר זה קיים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ההוא מתהווה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עם היווצרותו של זה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נוצר ההוא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כאשר זה אינו קיים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ההוא אינו נוצר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עם הפסקתו של זה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נפסק ההוא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"</w:t>
      </w:r>
      <w:r>
        <w:rPr>
          <w:rStyle w:val="FootnoteReference"/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footnoteReference w:id="18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התפיסה הבודהיסטית היא שהמציאות כולה משתנה ללא הרף – וכל הדברים שקורים אינם אלא אוסף של תנאים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מותנים בעצמם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שמתוכם נובעים תנאים חדשים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19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התפיסה האונטולוגית הזו שוללת הן את האטמן האופנישדי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הטוען לאמת אחת מוחלטת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והן את הפאטאליזם – בין שטוען למציאות נוקשה וקבועה מראש ובין שטוען להיעדר מוחלטת של סיבתיות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הכיצד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?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האטמן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כאמור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הוא יסוד נפשי במהותו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נבחר לקבל את פרשנותו של פדרמן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),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מוחלט ובלתי משתנה מתוקף זיהויו עם הברהאמן המוחלט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כשם שהנפש הקרטזיאנית היא עצם נבדל במהותו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הנברא בצלם האלוהים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איך היכן הוא בכלל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האטמן הזה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האחיד והבלתי משתנה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הבודהיסטים טוענים כנגדו שלושה טיעונים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תחילה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הם טוענים שאין לנו כלל שליטה על אף אחד מההיבטים שאנו מייחסים לעצמנו – לא גוף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ולא 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הללו משתנים ללא הרף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לרבות שינויים שאינם מיטיבים איתנו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0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האופנישדים הגדירו את האטמן בתור השליט הפנימי – אך הנה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אין לנו שליטה כלל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טיעון שני כנגד האטמן הוא שהגוף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הרגש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ההכרה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הנטיות והתודעה כולן זמניות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וכאובות – ואין זה הגיוני לייחס לעצמנו דברים זמניים וכאובים כשלנו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 כעצמנו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1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טיעון שלישי קובע כי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נחפש בתוך כל החווית 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 נוכל למצוא דבר אחד קבוע שהוא אני – אם נתייחס לעצמי כחוויה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 נוכל להבדילו מהחוויות השונות שאנו עוברים – כל חוויה תגרור אני אחר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ומכאן שהוא אינו קבוע כלל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מנגד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נקבע שהעצמי נבדל מהחוויה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איך ניתן בכלל לחשוב על עצמנו כדבר קיים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בהינתן שיש לנו רק את החוויות 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על מה נוכל להצביע ולומר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ולבסוף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גם אם נקבע כי האני נבדל מהחויה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עדיין חווה דברים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הרי שעדיין אין לנו על מה להצביע בתור אני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שום דבר מובחן שניתן לכונן כאטמן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2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לעומת האטמן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קובעת המחשבה הבודהיסטית את האנאטמן – היעדר האני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בפגישתם הראשונה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המלך מילינדה שואל את נגסנה לשמו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הלה משיב בשמו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מכתירו כתווית גרידא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אשר מאחוריה לא עומד איש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למול תמיהתו של המלך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מושל את עצמו נגסנה למרכבה שעמה הגיע המלך למשכנו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כשם שהמלך לא יכול להצביע על חלק כזה או אחר במרכבה בתור המרכבה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רק על המכלול כולו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כך גם התווית נגסנה – שם נוח למכלול שמשרת תכלית מסוימת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לא דבר אחד עצמאי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קבוע ובלתי משתנה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3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אם אין אני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כיצד זה הגיוני כלל לשאול על רצון 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אין עצמי קבוע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איך ניתן לשאול אם הוא חופשי או לא 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?</w:t>
      </w:r>
      <w:r>
        <w:rPr>
          <w:rStyle w:val="FootnoteReference"/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footnoteReference w:id="24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לשם כך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עלינו להבין את החלופה הבודהיסטית לאני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הבודהיזם ייקבע אותנו לא כדבר אחד עצמי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כמכלול של תופעות – סקאנדות – גוף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תחושות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תפיסות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נטיות ותודעה – אשר יחד מייצרות את תופעת הגוף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נפש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5"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 אותה אנו מזהים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באופן כוזב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כעצמי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אף אחד מחמשת הסקאנדות הללו אינן נפש במובן האופנישדי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קובע הבודהיזם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נקבל את ההנחה שהאטמן אינו מובל לכאב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רק לאושר צרוף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שהאופנישדים סברו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פדרמן מציג שני טיעונים בגנות זיהוי סקנדה כזו או אחרת כנפש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הראשון קובע כי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אם סקנדה כזו או אחרת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דוגמת הגוף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)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הייתה הנפש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הרי שהיא אינה מובילה לסבל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אולם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כל סקנדה שכזו דווקא כן מובילה לסבל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כמו סבל גופני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),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ולכן איננו יכולים לקבוע אותה בתור הנפש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הטיעון השני קובע כי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אילו כל סקנדה שכזו הייתה נפש – מקור השליטה המוחלט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הנשגב מן החומר – הרי שיכולנו לשנותה על פי רצוננו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אולם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אין זה נכון שאנו יכולים לשנות את מכלול הסקנדות על פי רצוננו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איננו יכולים לקבוע את הגוף ככזה או אחר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למשל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ובכך לשנותו – ולכן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אין זה נכון לזהות אף אחת מן הסקאנדות כנפש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6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לפיכך מסיק הבודהיזם כי איננו נפש – אלא אוסף של תופעות מותנות ומתנות המתגבשות יחד למכלול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בעצמו מתנה ומותנה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כך דוחה הבודהיזם את הרצון החופשי המוחלט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בכך שדוחה – לאור הזיהוי המוחלט של נפש ושליטה – את הנפש בכללותה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אין לנו שליטה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ולפיכך – אין לנו נפש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ומה בדבר הפאטאליזם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בהינתן שאין לנו רצון חופשי לחלוטין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מדוע לנו להסיק שיש לנו רצון כלל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הפאטאליזם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כאמור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נחלק לשני זרמים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האחד הקובע כי המציאות קבועה מראש לחלוטין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והאחר קובע כי המציאות אקראית לחלוטין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כנגד הראשון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הארווי מדגים כי אין למעשה כל סתירה בין החוק הקארמי כגורם סיבתי לחופש בחירה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נניח ואדם א’ נרצח בידי אדם ב’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לכאורה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ב’ נועד לרצוח את א’ בידי הגורל – כך זה נועד להיות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אולם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נייחס לאדם ב’ אופי רצחני בעקבות הקארמה השלילית שצבר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ונקבע כי אדם א’ נידון למוות לאור הקארמה השלילית שהוא עצמו צבר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עדיין ישנה האפשרות כי א’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שלא במודע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הציב את עצמו במצב שבו ב’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צמא לדם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מחליט לרצוח אותו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במצב כזה ניתן עדיין לומר כי ב’ בחר לרצוח את א’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ואינו רק מימוש עיוור של הקארמה השלילית של א’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אילו לא היה בוחר לרצוח את א’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א’ יכול היה למות בידיו של אדם אחר או נסיבות אחרות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7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גם במציאות שתוצאתה קבועה מראש בידי גורל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הבחירה נשמרת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האופן והנסיבות עדיין משתנים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במערכת של סיבתיות מותנית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שקארמה משחקת בה תפקיד אך לאו דווקא אומרת בה את המילה האחרונה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ומצדו השני של המתרס הפאטאליסטי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טוען הבודהה כנגד מציאות אינדטרמיניסטית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אקראית וחסרת סיבתיות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שנוכחנו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מציאות דטרמיניסטית לחלוטין דנה אותנו לאני קבוע ובלתי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משתנה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דבר שהבודהיזם דוחה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אולם באופן מפתיע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גם מציאות חסרת סיבתיות דנה אותנו לקיבעון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אם כל מה שישנו הוא רק שינוי בלתי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פוסק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בלי שום יסוד סיבתי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עצם השינוי נהפך למעין אני קבוע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8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בהיעדר התניות וקשרים סיבתיים שמעצבים אותנו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אנו נותרים רק עם שינוי חסר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פשר 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הקארמה שלנו בכל רגע נתון אינה באמת שלנו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שיירים של משהו אחר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שנעלם זה מכבר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9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תפיסה שכזו פוטרת אותנו מאחריות מוסרית – ומותקף זה הבודהיזם דוחה אותה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0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כיצד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אפוא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עלינו להבין את הרצון החופשי בתפיסה הבודהיסטית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?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הגותו של דניאל דנט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שמציגה פדרמן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יכולה לעזור לנו להאיר את התפיסה הבודהיסטית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שנוכחנו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רצון חופשי ואחריות מוסרית אינם יכולים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לפי ההגות הבודהיסטית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להתקיים במציאות דטרמיניסטית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וגם לא במציאות חסרת פשר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לכאורה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מציאות קבועה סותרת רצון 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אולם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בדומה להתנגדות הבודהיסטית למציאות אינדטרמיניסטית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דנט מציב את הדטרמיניזם לא רק כתואם את הרצון החופשי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אלא כתנאי שלו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רצון חופשי יכול להתקיים רק במציאות קבועה מראש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1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</w:p>
    <w:p>
      <w:pPr>
        <w:pStyle w:val="Style13"/>
        <w:widowControl/>
        <w:suppressAutoHyphens w:val="true"/>
        <w:overflowPunct w:val="true"/>
        <w:bidi w:val="1"/>
        <w:snapToGrid w:val="false"/>
        <w:spacing w:lineRule="auto" w:line="480" w:before="0" w:after="0"/>
        <w:ind w:hanging="0" w:left="0" w:right="0"/>
        <w:contextualSpacing/>
        <w:rPr>
          <w:rFonts w:ascii="Times New Roman" w:hAnsi="Times New Roman"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ab/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לשיטתו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הרצון החופשי הוא תוצר אבולוציוני – אותו הוא מגדיר בתור היכולת לבחור כמיטב יכולתנו כיצד להתמודד עם הבאות בצורה הטובה ביותר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לאור יכולתנו הקוגניטיבית לנבא במידת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-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מה את מה שצופן העתיד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2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ככל שאדם מצליח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בתהליך מחשבתי מוצלח יותר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להתקרב באומדן שלו למה שצופנת המציאות ולאפשרויות שניצבות בפניו לענות לה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הרי שהוא חופשי יותר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3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הרצון החופשי פועל בתוך מציאות צפויה – אחרת אין שום אפשרות לאמוד את העתיד – ומידת החופש שלו היא מרחב התמרון שלו בתוך שלל האילוצים שזו מציבה בפניו – בין שביולוגיים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חברתיים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היסטוריים ופסיכולוגיים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4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תפיסה זו מתכתבת עם הההתהוות המותנית הבודהיסטית</w:t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לפיה חופש הוא הסרה של מחסומים פסיכולוגים על ידי הבנת ההתניות שמרכיבות אותנו כמכלול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5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ובכך הגדלת חופש הפעולה שלנו בתוכן</w:t>
      </w:r>
      <w:r>
        <w:rPr>
          <w:rStyle w:val="FootnoteReference"/>
          <w:rFonts w:ascii="Times New Roman" w:hAnsi="Times New Roman" w:eastAsia="Noto Serif CJK SC"/>
          <w:b w:val="false"/>
          <w:b w:val="false"/>
          <w:b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6"/>
      </w:r>
      <w:r>
        <w:rPr>
          <w:rFonts w:eastAsia="Noto Serif CJK SC" w:cs="David Libre"/>
          <w:b w:val="false"/>
          <w:b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rPr/>
      </w:pPr>
      <w:r>
        <w:rPr>
          <w:rFonts w:cs="David Libre"/>
          <w:i w:val="false"/>
          <w:iCs w:val="false"/>
          <w:rtl w:val="true"/>
          <w:lang w:val="en-US" w:eastAsia="zh-CN" w:bidi="he-IL"/>
        </w:rPr>
        <w:tab/>
      </w:r>
      <w:r>
        <w:rPr>
          <w:i w:val="false"/>
          <w:i w:val="false"/>
          <w:iCs w:val="false"/>
          <w:rtl w:val="true"/>
          <w:lang w:val="en-US" w:eastAsia="zh-CN" w:bidi="he-IL"/>
        </w:rPr>
        <w:t>נוכחנו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אפוא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לדרך האמצע הבודהיסטית בדבר הרצון החופשי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: </w:t>
      </w:r>
      <w:r>
        <w:rPr>
          <w:i w:val="false"/>
          <w:i w:val="false"/>
          <w:iCs w:val="false"/>
          <w:rtl w:val="true"/>
          <w:lang w:val="en-US" w:eastAsia="zh-CN" w:bidi="he-IL"/>
        </w:rPr>
        <w:t>לא כתוצר כל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>-</w:t>
      </w:r>
      <w:r>
        <w:rPr>
          <w:i w:val="false"/>
          <w:i w:val="false"/>
          <w:iCs w:val="false"/>
          <w:rtl w:val="true"/>
          <w:lang w:val="en-US" w:eastAsia="zh-CN" w:bidi="he-IL"/>
        </w:rPr>
        <w:t>יכול של עצמי בלתי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>-</w:t>
      </w:r>
      <w:r>
        <w:rPr>
          <w:i w:val="false"/>
          <w:i w:val="false"/>
          <w:iCs w:val="false"/>
          <w:rtl w:val="true"/>
          <w:lang w:val="en-US" w:eastAsia="zh-CN" w:bidi="he-IL"/>
        </w:rPr>
        <w:t>משתנה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אחיד ומסתורי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ולא כאשלייה כוזבת של מציאות אכזרית ובלתי נתפסת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אלא בתור החופש שלנו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בתוך כל התנאים והנסיבות שעיצבו אותנו ואת המציאות שבפניה אנו עומדים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לבחור כמיטב יכולתנו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. </w:t>
      </w:r>
      <w:r>
        <w:rPr>
          <w:i w:val="false"/>
          <w:i w:val="false"/>
          <w:iCs w:val="false"/>
          <w:rtl w:val="true"/>
          <w:lang w:val="en-US" w:eastAsia="zh-CN" w:bidi="he-IL"/>
        </w:rPr>
        <w:t>רק אם ניטיב להבין את המציאות שמולנו טוב יותר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בכך שנשתחרר מהחסמים המגבילים אותנו ומצמצמים את ראייתנו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נוכל לאפשר לעצמנו לבחור טוב יותר בתוך המכלול שמולו אנו ניצבים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; </w:t>
      </w:r>
      <w:r>
        <w:rPr>
          <w:i w:val="false"/>
          <w:i w:val="false"/>
          <w:iCs w:val="false"/>
          <w:rtl w:val="true"/>
          <w:lang w:val="en-US" w:eastAsia="zh-CN" w:bidi="he-IL"/>
        </w:rPr>
        <w:t>והרי לנו ליבה הפועם של התורה הבודהיסטית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 xml:space="preserve">, </w:t>
      </w:r>
      <w:r>
        <w:rPr>
          <w:i w:val="false"/>
          <w:i w:val="false"/>
          <w:iCs w:val="false"/>
          <w:rtl w:val="true"/>
          <w:lang w:val="en-US" w:eastAsia="zh-CN" w:bidi="he-IL"/>
        </w:rPr>
        <w:t>ודרך האמצע שהיא מציעה</w:t>
      </w:r>
      <w:r>
        <w:rPr>
          <w:rFonts w:cs="David Libre"/>
          <w:i w:val="false"/>
          <w:iCs w:val="false"/>
          <w:rtl w:val="true"/>
          <w:lang w:val="en-US" w:eastAsia="zh-CN" w:bidi="he-IL"/>
        </w:rPr>
        <w:t>.</w:t>
      </w:r>
    </w:p>
    <w:p>
      <w:pPr>
        <w:pStyle w:val="Normal"/>
        <w:spacing w:lineRule="auto" w:line="360"/>
        <w:jc w:val="center"/>
        <w:rPr/>
      </w:pPr>
      <w:r>
        <w:rPr>
          <w:rFonts w:cs="David Libre"/>
          <w:b/>
          <w:b/>
          <w:bCs/>
          <w:u w:val="single"/>
          <w:rtl w:val="true"/>
        </w:rPr>
        <w:t>ביבליוגרפיה</w:t>
      </w:r>
    </w:p>
    <w:p>
      <w:pPr>
        <w:pStyle w:val="Philosophy"/>
        <w:bidi w:val="1"/>
        <w:spacing w:lineRule="auto" w:line="360"/>
        <w:ind w:hanging="0" w:left="0" w:right="0"/>
        <w:jc w:val="center"/>
        <w:rPr/>
      </w:pP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רנה דקארט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sz w:val="24"/>
          <w:sz w:val="24"/>
          <w:szCs w:val="24"/>
          <w:u w:val="none"/>
          <w:rtl w:val="true"/>
        </w:rPr>
        <w:t>הגיונות על הפילוסופיה הראשונית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תרגום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דורי מנור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תל אביב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משכל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>ה’תשס</w:t>
      </w:r>
      <w:r>
        <w:rPr>
          <w:b w:val="false"/>
          <w:bCs w:val="false"/>
          <w:i w:val="false"/>
          <w:iCs w:val="false"/>
          <w:sz w:val="24"/>
          <w:szCs w:val="24"/>
          <w:u w:val="none"/>
          <w:rtl w:val="true"/>
        </w:rPr>
        <w:t>"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u w:val="none"/>
          <w:rtl w:val="true"/>
        </w:rPr>
        <w:t xml:space="preserve">א 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>2001</w:t>
      </w:r>
    </w:p>
    <w:p>
      <w:pPr>
        <w:pStyle w:val="Normal"/>
        <w:bidi w:val="0"/>
        <w:spacing w:lineRule="auto" w:line="360"/>
        <w:jc w:val="center"/>
        <w:rPr/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</w:rPr>
        <w:t xml:space="preserve">Peter Harvey, </w:t>
      </w:r>
      <w:r>
        <w:rPr>
          <w:rFonts w:cs="Times New Roman" w:ascii="Times New Roman" w:hAnsi="Times New Roman"/>
          <w:b w:val="false"/>
          <w:bCs w:val="false"/>
          <w:i/>
          <w:iCs/>
          <w:sz w:val="24"/>
          <w:szCs w:val="24"/>
          <w:u w:val="none"/>
        </w:rPr>
        <w:t>“Freedom of the Will” in the Light of Therav</w:t>
      </w:r>
      <w:r>
        <w:rPr>
          <w:rFonts w:cs="Times New Roman" w:ascii="Times New Roman" w:hAnsi="Times New Roman"/>
          <w:b w:val="false"/>
          <w:bCs w:val="false"/>
          <w:i/>
          <w:iCs/>
          <w:sz w:val="24"/>
          <w:szCs w:val="24"/>
          <w:u w:val="none"/>
        </w:rPr>
        <w:t>ā</w:t>
      </w:r>
      <w:r>
        <w:rPr>
          <w:rFonts w:cs="Times New Roman" w:ascii="Times New Roman" w:hAnsi="Times New Roman"/>
          <w:b w:val="false"/>
          <w:bCs w:val="false"/>
          <w:i/>
          <w:iCs/>
          <w:sz w:val="24"/>
          <w:szCs w:val="24"/>
          <w:u w:val="none"/>
        </w:rPr>
        <w:t>da Buddhist Teachings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</w:rPr>
        <w:t xml:space="preserve">. In: </w:t>
      </w:r>
      <w:r>
        <w:rPr>
          <w:rFonts w:cs="Times New Roman" w:ascii="Times New Roman" w:hAnsi="Times New Roman"/>
          <w:b w:val="false"/>
          <w:bCs w:val="false"/>
          <w:i/>
          <w:iCs/>
          <w:sz w:val="24"/>
          <w:szCs w:val="24"/>
          <w:u w:val="none"/>
        </w:rPr>
        <w:t>Journal of Buddhist Ethics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sz w:val="24"/>
          <w:szCs w:val="24"/>
          <w:u w:val="none"/>
        </w:rPr>
        <w:t xml:space="preserve"> – volume 14, 2007.</w:t>
      </w:r>
    </w:p>
    <w:p>
      <w:pPr>
        <w:pStyle w:val="FootnoteText"/>
        <w:bidi w:val="0"/>
        <w:spacing w:lineRule="auto" w:line="360"/>
        <w:jc w:val="center"/>
        <w:rPr/>
      </w:pPr>
      <w:r>
        <w:rPr>
          <w:b w:val="false"/>
          <w:bCs w:val="false"/>
          <w:i w:val="false"/>
          <w:iCs w:val="false"/>
          <w:sz w:val="24"/>
          <w:szCs w:val="24"/>
          <w:u w:val="none"/>
        </w:rPr>
        <w:t>René Descartes, “Meditations on First Philosophy”</w:t>
      </w:r>
      <w:r>
        <w:rPr>
          <w:b w:val="false"/>
          <w:bCs w:val="false"/>
          <w:i/>
          <w:iCs/>
          <w:sz w:val="24"/>
          <w:szCs w:val="24"/>
          <w:u w:val="none"/>
        </w:rPr>
        <w:t>.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</w:t>
      </w:r>
      <w:bookmarkStart w:id="0" w:name="title_Copy_1"/>
      <w:bookmarkStart w:id="1" w:name="productTitle_Copy_1"/>
      <w:bookmarkEnd w:id="0"/>
      <w:bookmarkEnd w:id="1"/>
      <w:r>
        <w:rPr>
          <w:b w:val="false"/>
          <w:bCs w:val="false"/>
          <w:i/>
          <w:iCs/>
          <w:sz w:val="24"/>
          <w:szCs w:val="24"/>
          <w:u w:val="none"/>
        </w:rPr>
        <w:t>Meditations on First Philosophy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- 3</w:t>
      </w:r>
      <w:r>
        <w:rPr>
          <w:b w:val="false"/>
          <w:bCs w:val="false"/>
          <w:i w:val="false"/>
          <w:iCs w:val="false"/>
          <w:sz w:val="24"/>
          <w:szCs w:val="24"/>
          <w:u w:val="none"/>
          <w:vertAlign w:val="superscript"/>
        </w:rPr>
        <w:t>rd</w:t>
      </w:r>
      <w:r>
        <w:rPr>
          <w:b w:val="false"/>
          <w:bCs w:val="false"/>
          <w:i w:val="false"/>
          <w:iCs w:val="false"/>
          <w:sz w:val="24"/>
          <w:szCs w:val="24"/>
          <w:u w:val="none"/>
        </w:rPr>
        <w:t xml:space="preserve"> edition. Translation: Donald A. Cress. Indianapolis: Hackett Publishing Company, 1993</w:t>
      </w:r>
    </w:p>
    <w:p>
      <w:pPr>
        <w:pStyle w:val="Normal"/>
        <w:bidi w:val="0"/>
        <w:spacing w:lineRule="auto" w:line="360"/>
        <w:jc w:val="center"/>
        <w:rPr/>
      </w:pPr>
      <w:r>
        <w:rPr>
          <w:rFonts w:eastAsia="Noto Serif CJK SC" w:cs="Liberation Serif" w:ascii="Times New Roman" w:hAnsi="Times New Roman"/>
          <w:color w:val="auto"/>
          <w:kern w:val="2"/>
          <w:sz w:val="24"/>
          <w:szCs w:val="24"/>
          <w:lang w:val="en-US" w:eastAsia="zh-CN" w:bidi="he-IL"/>
        </w:rPr>
        <w:t xml:space="preserve"> “</w:t>
      </w:r>
      <w:hyperlink r:id="rId2">
        <w:r>
          <w:rPr>
            <w:rStyle w:val="Hyperlink"/>
            <w:rFonts w:eastAsia="Noto Serif CJK SC" w:cs="Liberation Serif" w:ascii="Times New Roman" w:hAnsi="Times New Roman"/>
            <w:color w:val="auto"/>
            <w:kern w:val="2"/>
            <w:sz w:val="24"/>
            <w:szCs w:val="24"/>
            <w:lang w:val="en-US" w:eastAsia="zh-CN" w:bidi="he-IL"/>
          </w:rPr>
          <w:t>Pratītyasamutpāda”.</w:t>
        </w:r>
      </w:hyperlink>
      <w:r>
        <w:rPr>
          <w:rFonts w:cs="Times New Roman" w:ascii="Times New Roman" w:hAnsi="Times New Roman"/>
          <w:b w:val="false"/>
          <w:bCs w:val="false"/>
          <w:u w:val="none"/>
        </w:rPr>
        <w:t xml:space="preserve"> </w:t>
      </w:r>
      <w:r>
        <w:rPr>
          <w:rFonts w:cs="Times New Roman" w:ascii="Times New Roman" w:hAnsi="Times New Roman"/>
          <w:b w:val="false"/>
          <w:bCs w:val="false"/>
          <w:u w:val="none"/>
        </w:rPr>
        <w:t>Wikipedia, the free Encyclopedia</w:t>
      </w:r>
      <w:r>
        <w:rPr>
          <w:rFonts w:cs="David Libre"/>
        </w:rPr>
        <w:t>.</w:t>
      </w:r>
      <w:r>
        <w:rPr/>
        <w:t xml:space="preserve"> </w:t>
      </w:r>
      <w:hyperlink r:id="rId3">
        <w:r>
          <w:rPr>
            <w:rStyle w:val="Hyperlink"/>
          </w:rPr>
          <w:t>https://en.wikipedia.org/wiki/Pra</w:t>
        </w:r>
        <w:r>
          <w:rPr>
            <w:rStyle w:val="Hyperlink"/>
            <w:rFonts w:ascii="Times New Roman" w:hAnsi="Times New Roman"/>
          </w:rPr>
          <w:t>t%C4%ABtyasamutp%C4%81da</w:t>
        </w:r>
      </w:hyperlink>
    </w:p>
    <w:p>
      <w:pPr>
        <w:pStyle w:val="Normal"/>
        <w:bidi w:val="0"/>
        <w:spacing w:lineRule="auto" w:line="36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Rupert Gethin. </w:t>
      </w:r>
      <w:r>
        <w:rPr>
          <w:rFonts w:cs="Times New Roman" w:ascii="Times New Roman" w:hAnsi="Times New Roman"/>
          <w:i/>
          <w:iCs/>
        </w:rPr>
        <w:t xml:space="preserve">The </w:t>
      </w:r>
      <w:r>
        <w:rPr>
          <w:rFonts w:cs="Times New Roman" w:ascii="Times New Roman" w:hAnsi="Times New Roman"/>
          <w:i/>
          <w:iCs/>
        </w:rPr>
        <w:t>F</w:t>
      </w:r>
      <w:r>
        <w:rPr>
          <w:rFonts w:cs="Times New Roman" w:ascii="Times New Roman" w:hAnsi="Times New Roman"/>
          <w:i/>
          <w:iCs/>
        </w:rPr>
        <w:t>oundations of Buddhism.</w:t>
      </w:r>
      <w:r>
        <w:rPr>
          <w:rFonts w:cs="Times New Roman" w:ascii="Times New Roman" w:hAnsi="Times New Roman"/>
        </w:rPr>
        <w:t xml:space="preserve"> Oxford: </w:t>
      </w:r>
      <w:r>
        <w:rPr>
          <w:rFonts w:cs="Times New Roman" w:ascii="Times New Roman" w:hAnsi="Times New Roman"/>
        </w:rPr>
        <w:t>Oxford University Press,</w:t>
      </w:r>
      <w:r>
        <w:rPr>
          <w:rFonts w:cs="Times New Roman" w:ascii="Times New Roman" w:hAnsi="Times New Roman"/>
        </w:rPr>
        <w:t xml:space="preserve"> 1998.</w:t>
      </w:r>
    </w:p>
    <w:p>
      <w:pPr>
        <w:pStyle w:val="Normal"/>
        <w:bidi w:val="0"/>
        <w:spacing w:lineRule="auto" w:line="360"/>
        <w:jc w:val="center"/>
        <w:rPr/>
      </w:pPr>
      <w:r>
        <w:rPr>
          <w:rFonts w:cs="Times New Roman" w:ascii="Times New Roman" w:hAnsi="Times New Roman"/>
          <w:i w:val="false"/>
          <w:iCs w:val="false"/>
        </w:rPr>
        <w:t xml:space="preserve">Asaf Federman, </w:t>
      </w:r>
      <w:r>
        <w:rPr>
          <w:rFonts w:cs="Times New Roman" w:ascii="Times New Roman" w:hAnsi="Times New Roman"/>
          <w:i/>
          <w:iCs/>
        </w:rPr>
        <w:t xml:space="preserve">What Kind of Free Will did the Buddha Teach. </w:t>
      </w:r>
      <w:r>
        <w:rPr>
          <w:rFonts w:cs="Times New Roman" w:ascii="Times New Roman" w:hAnsi="Times New Roman"/>
          <w:i w:val="false"/>
          <w:iCs w:val="false"/>
        </w:rPr>
        <w:t xml:space="preserve">In: </w:t>
      </w:r>
      <w:r>
        <w:rPr>
          <w:rFonts w:cs="Times New Roman" w:ascii="Times New Roman" w:hAnsi="Times New Roman"/>
          <w:i/>
          <w:iCs/>
        </w:rPr>
        <w:t>Philosophy East &amp; West: a</w:t>
      </w:r>
      <w:r>
        <w:rPr>
          <w:rStyle w:val="Emphasis"/>
        </w:rPr>
        <w:t xml:space="preserve"> Quarterly of Comparative Philosophy</w:t>
      </w:r>
      <w:r>
        <w:rPr>
          <w:rFonts w:cs="Times New Roman" w:ascii="Times New Roman" w:hAnsi="Times New Roman"/>
        </w:rPr>
        <w:t xml:space="preserve"> – volume 60. Honolulu: University of Hawai’i press, 2010.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 w:cs="Times New Roman"/>
          <w:i w:val="false"/>
          <w:i w:val="false"/>
          <w:iCs w:val="false"/>
        </w:rPr>
      </w:pPr>
      <w:r>
        <w:rPr/>
      </w:r>
    </w:p>
    <w:sectPr>
      <w:headerReference w:type="even" r:id="rId4"/>
      <w:headerReference w:type="default" r:id="rId5"/>
      <w:headerReference w:type="first" r:id="rId6"/>
      <w:footnotePr>
        <w:numFmt w:val="decimal"/>
      </w:footnotePr>
      <w:type w:val="nextPage"/>
      <w:pgSz w:w="11906" w:h="16838"/>
      <w:pgMar w:left="1134" w:right="1134" w:gutter="0" w:header="1134" w:top="1969" w:footer="0" w:bottom="1134"/>
      <w:pgNumType w:fmt="decimal"/>
      <w:formProt w:val="false"/>
      <w:textDirection w:val="lrTb"/>
      <w:bidi/>
      <w:rtlGutter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Nimbus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FootnoteCharacters"/>
        </w:rPr>
        <w:footnoteRef/>
      </w:r>
      <w:r>
        <w:rPr>
          <w:rtl w:val="true"/>
        </w:rPr>
        <w:tab/>
        <w:t xml:space="preserve"> </w:t>
      </w:r>
      <w:r>
        <w:rPr>
          <w:rtl w:val="true"/>
        </w:rPr>
        <w:t>רנה דקארט</w:t>
      </w:r>
      <w:r>
        <w:rPr>
          <w:rtl w:val="true"/>
        </w:rPr>
        <w:t>,</w:t>
      </w:r>
      <w:r>
        <w:rPr>
          <w:i/>
          <w:iCs/>
          <w:rtl w:val="true"/>
        </w:rPr>
        <w:t xml:space="preserve"> </w:t>
      </w:r>
      <w:r>
        <w:rPr>
          <w:i/>
          <w:i/>
          <w:iCs/>
          <w:rtl w:val="true"/>
        </w:rPr>
        <w:t>הגיונות על הפילוסופיה הראשונית</w:t>
      </w:r>
      <w:r>
        <w:rPr>
          <w:rtl w:val="true"/>
        </w:rPr>
        <w:t xml:space="preserve">. </w:t>
      </w:r>
      <w:r>
        <w:rPr>
          <w:rtl w:val="true"/>
        </w:rPr>
        <w:t xml:space="preserve">ת’ דורי מנור </w:t>
      </w:r>
      <w:r>
        <w:rPr>
          <w:rtl w:val="true"/>
        </w:rPr>
        <w:t>(</w:t>
      </w:r>
      <w:r>
        <w:rPr>
          <w:rtl w:val="true"/>
        </w:rPr>
        <w:t>תל אביב</w:t>
      </w:r>
      <w:r>
        <w:rPr>
          <w:rtl w:val="true"/>
        </w:rPr>
        <w:t xml:space="preserve">: </w:t>
      </w:r>
      <w:r>
        <w:rPr>
          <w:rtl w:val="true"/>
        </w:rPr>
        <w:t>משכל</w:t>
      </w:r>
      <w:r>
        <w:rPr>
          <w:rtl w:val="true"/>
        </w:rPr>
        <w:t xml:space="preserve">, </w:t>
      </w:r>
      <w:r>
        <w:rPr/>
        <w:t>2001</w:t>
      </w:r>
      <w:r>
        <w:rPr>
          <w:rtl w:val="true"/>
        </w:rPr>
        <w:t xml:space="preserve">), </w:t>
      </w:r>
      <w:r>
        <w:rPr>
          <w:rtl w:val="true"/>
        </w:rPr>
        <w:t>היגיון שני</w:t>
      </w:r>
      <w:r>
        <w:rPr>
          <w:rtl w:val="true"/>
        </w:rPr>
        <w:t>,</w:t>
      </w:r>
      <w:r>
        <w:rPr>
          <w:rtl w:val="true"/>
        </w:rPr>
        <w:t xml:space="preserve"> </w:t>
      </w:r>
      <w:r>
        <w:rPr>
          <w:rtl w:val="true"/>
        </w:rPr>
        <w:t xml:space="preserve">עמ’ </w:t>
      </w:r>
      <w:r>
        <w:rPr/>
        <w:t>22</w:t>
      </w:r>
    </w:p>
  </w:footnote>
  <w:footnote w:id="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Federman, Asaf.</w:t>
      </w:r>
      <w:r>
        <w:rPr>
          <w:rFonts w:cs="Times New Roman" w:ascii="Times New Roman" w:hAnsi="Times New Roman"/>
          <w:i w:val="false"/>
          <w:iCs w:val="false"/>
        </w:rPr>
        <w:t xml:space="preserve"> </w:t>
      </w:r>
      <w:r>
        <w:rPr>
          <w:rFonts w:cs="Times New Roman" w:ascii="Times New Roman" w:hAnsi="Times New Roman"/>
          <w:i/>
          <w:iCs/>
        </w:rPr>
        <w:t xml:space="preserve">What Kind of Free Will did the Buddha Teach. </w:t>
      </w:r>
      <w:r>
        <w:rPr>
          <w:rFonts w:cs="Times New Roman" w:ascii="Times New Roman" w:hAnsi="Times New Roman"/>
          <w:i w:val="false"/>
          <w:iCs w:val="false"/>
        </w:rPr>
        <w:t xml:space="preserve">In: </w:t>
      </w:r>
      <w:r>
        <w:rPr>
          <w:rFonts w:cs="Times New Roman" w:ascii="Times New Roman" w:hAnsi="Times New Roman"/>
          <w:i/>
          <w:iCs/>
        </w:rPr>
        <w:t>Philosophy East &amp; West: a</w:t>
      </w:r>
      <w:r>
        <w:rPr>
          <w:rStyle w:val="Emphasis"/>
        </w:rPr>
        <w:t xml:space="preserve"> Quarterly of Comparative Philosophy</w:t>
      </w:r>
      <w:r>
        <w:rPr>
          <w:rFonts w:cs="Times New Roman" w:ascii="Times New Roman" w:hAnsi="Times New Roman"/>
        </w:rPr>
        <w:t xml:space="preserve"> – volume 60.(Honolulu: University of Hawai’i press, 2010), p. 5</w:t>
      </w:r>
    </w:p>
  </w:footnote>
  <w:footnote w:id="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>
          <w:rFonts w:cs="Times New Roman" w:ascii="Times New Roman" w:hAnsi="Times New Roman"/>
        </w:rPr>
        <w:tab/>
        <w:t xml:space="preserve"> </w:t>
      </w:r>
      <w:r>
        <w:rPr>
          <w:rFonts w:cs="Times New Roman" w:ascii="Times New Roman" w:hAnsi="Times New Roman"/>
        </w:rPr>
        <w:t xml:space="preserve">Harvey, Peter. </w:t>
      </w:r>
      <w:r>
        <w:rPr>
          <w:rFonts w:cs="Times New Roman" w:ascii="Times New Roman" w:hAnsi="Times New Roman"/>
          <w:i/>
          <w:iCs/>
        </w:rPr>
        <w:t>“Freedom of the Will” in the Light of Therav</w:t>
      </w:r>
      <w:r>
        <w:rPr>
          <w:rFonts w:cs="Times New Roman" w:ascii="Times New Roman" w:hAnsi="Times New Roman"/>
          <w:b w:val="false"/>
          <w:bCs w:val="false"/>
          <w:i/>
          <w:iCs/>
        </w:rPr>
        <w:t>ā</w:t>
      </w:r>
      <w:r>
        <w:rPr>
          <w:rFonts w:cs="Times New Roman" w:ascii="Times New Roman" w:hAnsi="Times New Roman"/>
          <w:i/>
          <w:iCs/>
        </w:rPr>
        <w:t>da Buddhist Teachings</w:t>
      </w:r>
      <w:r>
        <w:rPr>
          <w:rFonts w:cs="Times New Roman" w:ascii="Times New Roman" w:hAnsi="Times New Roman"/>
          <w:i w:val="false"/>
          <w:iCs w:val="false"/>
        </w:rPr>
        <w:t xml:space="preserve">. In: </w:t>
      </w:r>
      <w:r>
        <w:rPr>
          <w:rFonts w:cs="Times New Roman" w:ascii="Times New Roman" w:hAnsi="Times New Roman"/>
          <w:i/>
          <w:iCs/>
        </w:rPr>
        <w:t>Journal of Buddhist Ethics</w:t>
      </w:r>
      <w:r>
        <w:rPr>
          <w:rFonts w:cs="Times New Roman" w:ascii="Times New Roman" w:hAnsi="Times New Roman"/>
          <w:i w:val="false"/>
          <w:iCs w:val="false"/>
        </w:rPr>
        <w:t xml:space="preserve"> – volume 14 (2007). pp. 42-3</w:t>
      </w:r>
    </w:p>
  </w:footnote>
  <w:footnote w:id="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p.4</w:t>
      </w:r>
    </w:p>
  </w:footnote>
  <w:footnote w:id="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p.5</w:t>
      </w:r>
    </w:p>
  </w:footnote>
  <w:footnote w:id="7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 </w:t>
      </w:r>
      <w:r>
        <w:rPr>
          <w:b w:val="false"/>
          <w:bCs w:val="false"/>
        </w:rPr>
        <w:t xml:space="preserve">René Descartes, </w:t>
      </w:r>
      <w:bookmarkStart w:id="2" w:name="title"/>
      <w:bookmarkStart w:id="3" w:name="productTitle"/>
      <w:bookmarkEnd w:id="2"/>
      <w:bookmarkEnd w:id="3"/>
      <w:r>
        <w:rPr>
          <w:i/>
          <w:iCs/>
        </w:rPr>
        <w:t>Meditations on First Philosophy</w:t>
      </w:r>
      <w:r>
        <w:rPr>
          <w:i w:val="false"/>
          <w:iCs w:val="false"/>
        </w:rPr>
        <w:t>. Trans. Donald A. Cress (Indianapolis: Hackett Publishing Company, 1993)</w:t>
      </w:r>
      <w:r>
        <w:rPr>
          <w:i w:val="false"/>
          <w:iCs w:val="false"/>
        </w:rPr>
        <w:t>. Sixth meditaion, p. 56</w:t>
      </w:r>
    </w:p>
  </w:footnote>
  <w:footnote w:id="8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59-61</w:t>
      </w:r>
    </w:p>
  </w:footnote>
  <w:footnote w:id="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Second meditation, pp. 17-19</w:t>
      </w:r>
    </w:p>
  </w:footnote>
  <w:footnote w:id="10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p.5</w:t>
      </w:r>
    </w:p>
  </w:footnote>
  <w:footnote w:id="11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>
          <w:rFonts w:cs="Times New Roman" w:ascii="Times New Roman" w:hAnsi="Times New Roman"/>
        </w:rPr>
        <w:t xml:space="preserve">Harvey </w:t>
      </w:r>
      <w:r>
        <w:rPr>
          <w:rFonts w:cs="Times New Roman" w:ascii="Times New Roman" w:hAnsi="Times New Roman"/>
          <w:i w:val="false"/>
          <w:iCs w:val="false"/>
        </w:rPr>
        <w:t>(2007). pp. 42-3 (my translation)</w:t>
      </w:r>
    </w:p>
  </w:footnote>
  <w:footnote w:id="12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 47</w:t>
      </w:r>
    </w:p>
  </w:footnote>
  <w:footnote w:id="1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Harvey (2007). pp. 48-51</w:t>
      </w:r>
    </w:p>
  </w:footnote>
  <w:footnote w:id="1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56</w:t>
      </w:r>
    </w:p>
  </w:footnote>
  <w:footnote w:id="1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 13</w:t>
      </w:r>
    </w:p>
  </w:footnote>
  <w:footnote w:id="1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Harvey (2007). p. 51</w:t>
      </w:r>
    </w:p>
  </w:footnote>
  <w:footnote w:id="17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51-2</w:t>
      </w:r>
      <w:r>
        <w:rPr/>
        <w:t xml:space="preserve"> </w:t>
      </w:r>
    </w:p>
  </w:footnote>
  <w:footnote w:id="18">
    <w:p>
      <w:pPr>
        <w:pStyle w:val="FootnoteText"/>
        <w:rPr/>
      </w:pPr>
      <w:r>
        <w:rPr>
          <w:rStyle w:val="FootnoteCharacters"/>
        </w:rPr>
        <w:footnoteRef/>
      </w:r>
      <w:r>
        <w:rPr>
          <w:rtl w:val="true"/>
        </w:rPr>
        <w:tab/>
        <w:t xml:space="preserve"> </w:t>
      </w:r>
      <w:hyperlink r:id="rId1">
        <w:bookmarkStart w:id="4" w:name="firstHeading"/>
        <w:bookmarkEnd w:id="4"/>
        <w:r>
          <w:rPr>
            <w:rStyle w:val="Hyperlink"/>
          </w:rPr>
          <w:t>Pratītyasamutpāda</w:t>
        </w:r>
        <w:r>
          <w:rPr>
            <w:rStyle w:val="Hyperlink"/>
            <w:rtl w:val="true"/>
          </w:rPr>
          <w:t xml:space="preserve">. </w:t>
        </w:r>
      </w:hyperlink>
      <w:r>
        <w:rPr>
          <w:rtl w:val="true"/>
        </w:rPr>
        <w:t>ויקיפדיה</w:t>
      </w:r>
      <w:r>
        <w:rPr>
          <w:rtl w:val="true"/>
        </w:rPr>
        <w:t xml:space="preserve">, </w:t>
      </w:r>
      <w:r>
        <w:rPr>
          <w:rtl w:val="true"/>
        </w:rPr>
        <w:t>האינציקלופדיה החופשית</w:t>
      </w:r>
      <w:r>
        <w:rPr>
          <w:rtl w:val="true"/>
        </w:rPr>
        <w:t xml:space="preserve">. </w:t>
      </w:r>
      <w:r>
        <w:rPr>
          <w:rtl w:val="true"/>
        </w:rPr>
        <w:t>תרגום שלי</w:t>
      </w:r>
      <w:r>
        <w:rPr>
          <w:rtl w:val="true"/>
        </w:rPr>
        <w:t xml:space="preserve">. </w:t>
      </w:r>
      <w:r>
        <w:rPr/>
        <w:t>https://en.wikipedia.org/wiki/Prat%C4%ABtyasamutp%C4%81da</w:t>
      </w:r>
    </w:p>
  </w:footnote>
  <w:footnote w:id="1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>
          <w:rFonts w:cs="Times New Roman" w:ascii="Times New Roman" w:hAnsi="Times New Roman"/>
        </w:rPr>
        <w:t xml:space="preserve">Gethin, Rupert. </w:t>
      </w:r>
      <w:r>
        <w:rPr>
          <w:rFonts w:cs="Times New Roman" w:ascii="Times New Roman" w:hAnsi="Times New Roman"/>
          <w:i/>
          <w:iCs/>
        </w:rPr>
        <w:t>The foundations of Buddhism.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(</w:t>
      </w:r>
      <w:r>
        <w:rPr>
          <w:rFonts w:cs="Times New Roman" w:ascii="Times New Roman" w:hAnsi="Times New Roman"/>
        </w:rPr>
        <w:t xml:space="preserve">Oxford: </w:t>
      </w:r>
      <w:r>
        <w:rPr>
          <w:rFonts w:cs="Times New Roman" w:ascii="Times New Roman" w:hAnsi="Times New Roman"/>
        </w:rPr>
        <w:t>Oxford University Press,</w:t>
      </w:r>
      <w:r>
        <w:rPr>
          <w:rFonts w:cs="Times New Roman" w:ascii="Times New Roman" w:hAnsi="Times New Roman"/>
        </w:rPr>
        <w:t xml:space="preserve"> 1998</w:t>
      </w:r>
      <w:r>
        <w:rPr>
          <w:rFonts w:cs="Times New Roman" w:ascii="Times New Roman" w:hAnsi="Times New Roman"/>
        </w:rPr>
        <w:t>). p. 138</w:t>
      </w:r>
    </w:p>
  </w:footnote>
  <w:footnote w:id="20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136-7</w:t>
      </w:r>
    </w:p>
  </w:footnote>
  <w:footnote w:id="21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137</w:t>
      </w:r>
    </w:p>
  </w:footnote>
  <w:footnote w:id="22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137-8</w:t>
      </w:r>
    </w:p>
  </w:footnote>
  <w:footnote w:id="2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139</w:t>
      </w:r>
    </w:p>
  </w:footnote>
  <w:footnote w:id="2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Harvey (2007). p.61</w:t>
      </w:r>
    </w:p>
  </w:footnote>
  <w:footnote w:id="2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p.7</w:t>
      </w:r>
    </w:p>
  </w:footnote>
  <w:footnote w:id="2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</w:t>
      </w:r>
    </w:p>
  </w:footnote>
  <w:footnote w:id="27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Harvey (2007). p. 59</w:t>
      </w:r>
    </w:p>
  </w:footnote>
  <w:footnote w:id="28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68</w:t>
      </w:r>
    </w:p>
  </w:footnote>
  <w:footnote w:id="29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65</w:t>
      </w:r>
    </w:p>
  </w:footnote>
  <w:footnote w:id="30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 </w:t>
      </w:r>
      <w:r>
        <w:rPr/>
        <w:t>Federman (2010). p. 13</w:t>
      </w:r>
    </w:p>
  </w:footnote>
  <w:footnote w:id="31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</w:t>
      </w:r>
    </w:p>
  </w:footnote>
  <w:footnote w:id="32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pp. 8-9</w:t>
      </w:r>
    </w:p>
  </w:footnote>
  <w:footnote w:id="33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Ibid. p. 9</w:t>
      </w:r>
    </w:p>
  </w:footnote>
  <w:footnote w:id="34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Harvery (2007). pp. 37-8</w:t>
      </w:r>
    </w:p>
  </w:footnote>
  <w:footnote w:id="35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Federman (2010). p. 9</w:t>
      </w:r>
    </w:p>
  </w:footnote>
  <w:footnote w:id="36">
    <w:p>
      <w:pPr>
        <w:pStyle w:val="FootnoteText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 </w:t>
      </w:r>
      <w:r>
        <w:rPr/>
        <w:t>Harvery (2007). pp. 71-2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b/>
        <w:bCs/>
      </w:rPr>
    </w:pPr>
    <w:r>
      <w:rPr>
        <w:b/>
        <w:b/>
        <w:bCs/>
        <w:rtl w:val="true"/>
      </w:rPr>
      <w:t xml:space="preserve">מתן הורוביץ </w:t>
    </w:r>
    <w:r>
      <w:rPr>
        <w:b/>
        <w:bCs/>
      </w:rPr>
      <w:t>207130253</w:t>
    </w:r>
    <w:r>
      <w:rPr>
        <w:b/>
        <w:bCs/>
        <w:rtl w:val="true"/>
      </w:rPr>
      <w:tab/>
      <w:tab/>
    </w:r>
  </w:p>
</w:hdr>
</file>

<file path=word/settings.xml><?xml version="1.0" encoding="utf-8"?>
<w:settings xmlns:w="http://schemas.openxmlformats.org/wordprocessingml/2006/main">
  <w:zoom w:percent="9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rong">
    <w:name w:val="Strong"/>
    <w:qFormat/>
    <w:rPr>
      <w:b/>
      <w:bCs/>
    </w:rPr>
  </w:style>
  <w:style w:type="character" w:styleId="DefaultParagraphFont1">
    <w:name w:val="Default Paragraph Font1"/>
    <w:qFormat/>
    <w:rPr/>
  </w:style>
  <w:style w:type="character" w:styleId="WW8Num1z0">
    <w:name w:val="WW8Num1z0"/>
    <w:qFormat/>
    <w:rPr/>
  </w:style>
  <w:style w:type="character" w:styleId="Hyperlink">
    <w:name w:val="Hyperlink"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firstLine="346" w:left="0" w:right="0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widowControl/>
      <w:suppressAutoHyphens w:val="true"/>
      <w:overflowPunct w:val="true"/>
      <w:bidi w:val="1"/>
      <w:snapToGrid w:val="false"/>
      <w:spacing w:lineRule="auto" w:line="480" w:before="0" w:after="0"/>
      <w:ind w:hanging="0" w:left="0" w:right="0"/>
      <w:contextualSpacing/>
      <w:jc w:val="both"/>
    </w:pPr>
    <w:rPr>
      <w:rFonts w:ascii="Times New Roman" w:hAnsi="Times New Roman" w:cs="David Libre"/>
      <w:b w:val="false"/>
      <w:bCs w:val="false"/>
      <w:sz w:val="24"/>
      <w:szCs w:val="24"/>
      <w:u w:val="none"/>
    </w:rPr>
  </w:style>
  <w:style w:type="paragraph" w:styleId="BlockQuotation">
    <w:name w:val="Block Quotation"/>
    <w:basedOn w:val="Normal"/>
    <w:qFormat/>
    <w:pPr>
      <w:spacing w:before="0" w:after="283"/>
      <w:ind w:hanging="0" w:left="567" w:right="567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Text">
    <w:name w:val="Endnote Text"/>
    <w:basedOn w:val="Normal"/>
    <w:pPr>
      <w:suppressLineNumbers/>
      <w:ind w:hanging="340" w:left="340" w:right="0"/>
    </w:pPr>
    <w:rPr>
      <w:sz w:val="20"/>
      <w:szCs w:val="20"/>
    </w:rPr>
  </w:style>
  <w:style w:type="paragraph" w:styleId="FootnoteText">
    <w:name w:val="Footnote Text"/>
    <w:basedOn w:val="Normal"/>
    <w:pPr>
      <w:suppressLineNumbers/>
      <w:ind w:hanging="340" w:left="340" w:right="0"/>
    </w:pPr>
    <w:rPr>
      <w:sz w:val="20"/>
      <w:szCs w:val="20"/>
    </w:rPr>
  </w:style>
  <w:style w:type="paragraph" w:styleId="Philosophy">
    <w:name w:val="Philosophy"/>
    <w:basedOn w:val="Style13"/>
    <w:qFormat/>
    <w:pPr>
      <w:bidi w:val="0"/>
      <w:spacing w:lineRule="auto" w:line="360"/>
      <w:jc w:val="both"/>
    </w:pPr>
    <w:rPr>
      <w:rFonts w:cs="David CLM"/>
      <w:bCs w:val="fals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n.wikipedia.org/wiki/Prat&#299;tyasamutp&#257;da" TargetMode="External"/><Relationship Id="rId3" Type="http://schemas.openxmlformats.org/officeDocument/2006/relationships/hyperlink" Target="https://en.wikipedia.org/wiki/Prat&#299;tyasamutp&#257;da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notes" Target="footnotes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notes.xml.rels><?xml version="1.0" encoding="UTF-8"?>
<Relationships xmlns="http://schemas.openxmlformats.org/package/2006/relationships"><Relationship Id="rId1" Type="http://schemas.openxmlformats.org/officeDocument/2006/relationships/hyperlink" Target="https://en.wikipedia.org/wiki/Prat&#299;tyasamutp&#257;da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2419</TotalTime>
  <Application>LibreOffice/24.2.1.2$Linux_X86_64 LibreOffice_project/420$Build-2</Application>
  <AppVersion>15.0000</AppVersion>
  <Pages>8</Pages>
  <Words>2396</Words>
  <Characters>11906</Characters>
  <CharactersWithSpaces>14374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2024-01-16T21:42:34Z</dcterms:created>
  <dc:creator/>
  <dc:description/>
  <dc:language>he-IL</dc:language>
  <cp:lastModifiedBy/>
  <dcterms:modified xsi:type="dcterms:W3CDTF">2024-04-05T14:17:39Z</dcterms:modified>
  <cp:revision>100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