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3"/>
        <w:widowControl/>
        <w:suppressAutoHyphens w:val="true"/>
        <w:overflowPunct w:val="false"/>
        <w:bidi w:val="1"/>
        <w:spacing w:before="0" w:after="0"/>
        <w:ind w:left="0" w:right="0" w:hanging="0"/>
        <w:contextualSpacing/>
        <w:jc w:val="both"/>
        <w:rPr>
          <w:rFonts w:ascii="Times New Roman" w:hAnsi="Times New Roman" w:eastAsia="Noto Sans" w:cs="David Libre"/>
          <w:b w:val="false"/>
          <w:bCs w:val="false"/>
          <w:i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בראשון בספרי המטאפיזיקה שלו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אריסטותאלס מבקש לבחון את טיבה של החוכמה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כפי שזו נתפסת בדעה הרווחת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לצורך זה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מבקש אריסטו להבחין בין שני כוחות המרכיבים את החוכמה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: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הניסיון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והאומנות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את הניסיון מתאר אריסטו כידע פרטני אודות דבר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הנבנה מזיכרונות רבים של אותו הדבר</w:t>
      </w:r>
      <w:r>
        <w:rPr>
          <w:rStyle w:val="FootnoteAnchor"/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2"/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כאשר נצבר ניסיון רב בדברים פרטניים רבים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המאפשר שיפוט כולל – נוצרות אומנות</w:t>
      </w:r>
      <w:r>
        <w:rPr>
          <w:rStyle w:val="FootnoteAnchor"/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3"/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את האומנות מתאר אריסטו כהסבר תבוני הנובע מן הניסיון הפרטני – הן ההסבר התבוני והן הניסיון הם תנאים הכרחיים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אך בלתי מספיקים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לכינונה של האומנות</w:t>
      </w:r>
      <w:r>
        <w:rPr>
          <w:rStyle w:val="FootnoteAnchor"/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4"/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.</w:t>
      </w:r>
    </w:p>
    <w:p>
      <w:pPr>
        <w:pStyle w:val="Style13"/>
        <w:widowControl/>
        <w:suppressAutoHyphens w:val="true"/>
        <w:overflowPunct w:val="false"/>
        <w:bidi w:val="1"/>
        <w:spacing w:before="0" w:after="0"/>
        <w:ind w:left="0" w:right="0" w:firstLine="58"/>
        <w:contextualSpacing/>
        <w:jc w:val="both"/>
        <w:rPr>
          <w:rFonts w:ascii="Times New Roman" w:hAnsi="Times New Roman" w:eastAsia="Noto Sans" w:cs="David Libre"/>
          <w:b w:val="false"/>
          <w:bCs w:val="false"/>
          <w:i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widowControl/>
        <w:suppressAutoHyphens w:val="true"/>
        <w:overflowPunct w:val="false"/>
        <w:bidi w:val="1"/>
        <w:spacing w:before="0" w:after="0"/>
        <w:ind w:left="0" w:right="0" w:firstLine="58"/>
        <w:contextualSpacing/>
        <w:jc w:val="both"/>
        <w:rPr>
          <w:rFonts w:ascii="Times New Roman" w:hAnsi="Times New Roman" w:eastAsia="Noto Sans" w:cs="David Libre"/>
          <w:b w:val="false"/>
          <w:bCs w:val="false"/>
          <w:i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מבין שני הרכיבים האלו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אריסטו קובע כי אנו מייחסים משקל רב יותר להסבר התבוני בחפשנו את החכמה</w:t>
      </w:r>
      <w:r>
        <w:rPr>
          <w:rStyle w:val="FootnoteAnchor"/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5"/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למרות שהניסיון כמעט ואינו נופל מן 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(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ולעיתים אף עולה על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)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האומנות בשימושיו המעשיים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אנו תופסים את ההסבר התבוני כקרוב יותר מן הניסיון לחוכמה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משום שהאחד טרוד ב’מה’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והשני טרוד ב’למה’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כלשונו של אריסטו</w:t>
      </w:r>
      <w:r>
        <w:rPr>
          <w:rStyle w:val="FootnoteAnchor"/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footnoteReference w:id="6"/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 – ההסבר התבוני טרוד בסיבותיו היותו של כל דבר ככזה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דבר ממנו נובעת החוכמה על פי התפיסה הרווחת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הניסיון בלבד אינו טומן בחובו הסבר של כזה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רק האומנות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בהיותה שילוב של השניים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ans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מסוגלת לעמוד על סיבותיהם של אלו שבדברם היא שופטת – ומשום כך אנו תופסים הן את בעל האומנות והן את בעל ההסבר התבוני כחכמים יותר מבעל הניסיון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.</w:t>
      </w:r>
    </w:p>
    <w:p>
      <w:pPr>
        <w:pStyle w:val="Style13"/>
        <w:widowControl/>
        <w:suppressAutoHyphens w:val="true"/>
        <w:overflowPunct w:val="false"/>
        <w:bidi w:val="1"/>
        <w:spacing w:before="0" w:after="0"/>
        <w:ind w:left="0" w:right="0" w:firstLine="58"/>
        <w:contextualSpacing/>
        <w:jc w:val="both"/>
        <w:rPr>
          <w:rFonts w:ascii="Times New Roman" w:hAnsi="Times New Roman" w:eastAsia="Noto Sans" w:cs="David Libre"/>
          <w:b w:val="false"/>
          <w:bCs w:val="false"/>
          <w:i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e-IL"/>
        </w:rPr>
      </w:pP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</w:r>
    </w:p>
    <w:p>
      <w:pPr>
        <w:pStyle w:val="Style13"/>
        <w:spacing w:lineRule="auto" w:line="360" w:before="0" w:after="0"/>
        <w:ind w:left="0" w:right="0" w:firstLine="58"/>
        <w:contextualSpacing/>
        <w:jc w:val="center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Style13"/>
        <w:spacing w:lineRule="auto" w:line="360" w:before="0" w:after="0"/>
        <w:ind w:left="0" w:right="0" w:firstLine="58"/>
        <w:contextualSpacing/>
        <w:jc w:val="center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Style13"/>
        <w:spacing w:lineRule="auto" w:line="360" w:before="0" w:after="0"/>
        <w:ind w:left="0" w:right="0" w:firstLine="58"/>
        <w:contextualSpacing/>
        <w:jc w:val="center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Style13"/>
        <w:spacing w:lineRule="auto" w:line="360" w:before="0" w:after="0"/>
        <w:ind w:left="0" w:right="0" w:firstLine="58"/>
        <w:contextualSpacing/>
        <w:jc w:val="center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Style13"/>
        <w:spacing w:lineRule="auto" w:line="360" w:before="0" w:after="0"/>
        <w:ind w:left="0" w:right="0" w:firstLine="58"/>
        <w:contextualSpacing/>
        <w:jc w:val="center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Style13"/>
        <w:spacing w:lineRule="auto" w:line="360" w:before="0" w:after="0"/>
        <w:ind w:left="0" w:right="0" w:firstLine="58"/>
        <w:contextualSpacing/>
        <w:jc w:val="center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Style13"/>
        <w:spacing w:lineRule="auto" w:line="360" w:before="0" w:after="0"/>
        <w:ind w:left="0" w:right="0" w:firstLine="58"/>
        <w:contextualSpacing/>
        <w:jc w:val="center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Style13"/>
        <w:spacing w:lineRule="auto" w:line="360" w:before="0" w:after="0"/>
        <w:ind w:left="0" w:right="0" w:firstLine="58"/>
        <w:contextualSpacing/>
        <w:jc w:val="center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Style13"/>
        <w:spacing w:lineRule="auto" w:line="360" w:before="0" w:after="0"/>
        <w:ind w:left="0" w:right="0" w:firstLine="58"/>
        <w:contextualSpacing/>
        <w:jc w:val="center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Style13"/>
        <w:spacing w:lineRule="auto" w:line="360" w:before="0" w:after="0"/>
        <w:ind w:left="0" w:right="0" w:firstLine="58"/>
        <w:contextualSpacing/>
        <w:jc w:val="center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Style13"/>
        <w:spacing w:lineRule="auto" w:line="360" w:before="0" w:after="0"/>
        <w:ind w:left="0" w:right="0" w:firstLine="58"/>
        <w:contextualSpacing/>
        <w:jc w:val="center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Style13"/>
        <w:spacing w:lineRule="auto" w:line="360" w:before="0" w:after="0"/>
        <w:ind w:left="0" w:right="0" w:firstLine="58"/>
        <w:contextualSpacing/>
        <w:jc w:val="center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Style13"/>
        <w:spacing w:lineRule="auto" w:line="360" w:before="0" w:after="0"/>
        <w:ind w:left="0" w:right="0" w:firstLine="58"/>
        <w:contextualSpacing/>
        <w:jc w:val="center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Style13"/>
        <w:spacing w:lineRule="auto" w:line="360" w:before="0" w:after="0"/>
        <w:ind w:left="0" w:right="0" w:firstLine="58"/>
        <w:contextualSpacing/>
        <w:jc w:val="center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Style13"/>
        <w:spacing w:lineRule="auto" w:line="360" w:before="0" w:after="0"/>
        <w:ind w:left="0" w:right="0" w:firstLine="58"/>
        <w:contextualSpacing/>
        <w:jc w:val="center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Style13"/>
        <w:spacing w:lineRule="auto" w:line="360" w:before="0" w:after="0"/>
        <w:ind w:left="0" w:right="0" w:firstLine="58"/>
        <w:contextualSpacing/>
        <w:jc w:val="center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Style13"/>
        <w:spacing w:lineRule="auto" w:line="360" w:before="0" w:after="0"/>
        <w:ind w:left="0" w:right="0" w:firstLine="58"/>
        <w:contextualSpacing/>
        <w:jc w:val="center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Style13"/>
        <w:bidi w:val="1"/>
        <w:spacing w:lineRule="auto" w:line="360" w:before="0" w:after="0"/>
        <w:ind w:left="0" w:right="0" w:firstLine="58"/>
        <w:contextualSpacing/>
        <w:jc w:val="center"/>
        <w:rPr>
          <w:rFonts w:ascii="Times New Roman" w:hAnsi="Times New Roman" w:cs="David Libre"/>
          <w:b/>
          <w:bCs/>
          <w:i w:val="false"/>
          <w:i w:val="false"/>
          <w:iCs w:val="false"/>
          <w:sz w:val="24"/>
          <w:szCs w:val="24"/>
        </w:rPr>
      </w:pPr>
      <w:r>
        <w:rPr>
          <w:rFonts w:ascii="Times New Roman" w:hAnsi="Times New Roman"/>
          <w:b/>
          <w:b/>
          <w:bCs/>
          <w:i w:val="false"/>
          <w:i w:val="false"/>
          <w:iCs w:val="false"/>
          <w:sz w:val="24"/>
          <w:sz w:val="24"/>
          <w:szCs w:val="24"/>
          <w:rtl w:val="true"/>
        </w:rPr>
        <w:t>ביבליוגרפיה</w:t>
      </w:r>
    </w:p>
    <w:p>
      <w:pPr>
        <w:pStyle w:val="Style13"/>
        <w:widowControl/>
        <w:suppressAutoHyphens w:val="true"/>
        <w:overflowPunct w:val="false"/>
        <w:spacing w:lineRule="auto" w:line="360" w:before="0" w:after="0"/>
        <w:ind w:left="0" w:right="0" w:firstLine="58"/>
        <w:contextualSpacing/>
        <w:jc w:val="center"/>
        <w:rPr>
          <w:b w:val="false"/>
          <w:bCs w:val="false"/>
          <w:u w:val="none"/>
        </w:rPr>
      </w:pPr>
      <w:r>
        <w:rPr>
          <w:rFonts w:cs="David Libre"/>
          <w:b w:val="false"/>
          <w:bCs w:val="false"/>
          <w:i w:val="false"/>
          <w:iCs w:val="false"/>
          <w:sz w:val="24"/>
          <w:szCs w:val="24"/>
          <w:u w:val="none"/>
        </w:rPr>
        <w:t>Sachs, Joe.</w:t>
      </w:r>
      <w:r>
        <w:rPr>
          <w:rFonts w:cs="David Libre"/>
          <w:b w:val="false"/>
          <w:bCs w:val="false"/>
          <w:i/>
          <w:iCs/>
          <w:sz w:val="24"/>
          <w:szCs w:val="24"/>
          <w:u w:val="none"/>
        </w:rPr>
        <w:t xml:space="preserve"> Aristotle’s </w:t>
      </w:r>
      <w:r>
        <w:rPr>
          <w:rFonts w:eastAsia="Noto Sans" w:cs="David Libre"/>
          <w:b w:val="false"/>
          <w:bCs w:val="false"/>
          <w:i/>
          <w:iCs/>
          <w:color w:val="auto"/>
          <w:kern w:val="2"/>
          <w:sz w:val="24"/>
          <w:szCs w:val="24"/>
          <w:u w:val="none"/>
          <w:lang w:val="en-US" w:eastAsia="zh-CN" w:bidi="he-IL"/>
        </w:rPr>
        <w:t>Metaphysics –</w:t>
      </w:r>
      <w:r>
        <w:rPr>
          <w:rFonts w:eastAsia="Noto Sans" w:cs="David Libre"/>
          <w:b w:val="false"/>
          <w:bCs w:val="false"/>
          <w:i/>
          <w:iCs/>
          <w:color w:val="auto"/>
          <w:kern w:val="2"/>
          <w:sz w:val="24"/>
          <w:szCs w:val="24"/>
          <w:u w:val="none"/>
          <w:lang w:val="en-US" w:eastAsia="zh-CN" w:bidi="he-IL"/>
        </w:rPr>
        <w:t xml:space="preserve"> second edition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e-IL"/>
        </w:rPr>
        <w:t>. Santa Fe</w:t>
      </w:r>
      <w:r>
        <w:rPr>
          <w:rFonts w:eastAsia="Noto Sans" w:cs="David Libre"/>
          <w:b w:val="false"/>
          <w:bCs w:val="false"/>
          <w:i/>
          <w:iCs/>
          <w:color w:val="auto"/>
          <w:kern w:val="2"/>
          <w:sz w:val="24"/>
          <w:szCs w:val="24"/>
          <w:u w:val="none"/>
          <w:lang w:val="en-US" w:eastAsia="zh-CN" w:bidi="he-IL"/>
        </w:rPr>
        <w:t xml:space="preserve">: </w:t>
      </w:r>
      <w:r>
        <w:rPr>
          <w:rFonts w:eastAsia="Noto Sans" w:cs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e-IL"/>
        </w:rPr>
        <w:t>Green Lion Press, 1999</w:t>
      </w:r>
    </w:p>
    <w:p>
      <w:pPr>
        <w:pStyle w:val="Style13"/>
        <w:spacing w:lineRule="auto" w:line="360" w:before="0" w:after="0"/>
        <w:ind w:left="0" w:right="0" w:firstLine="58"/>
        <w:contextualSpacing/>
        <w:jc w:val="center"/>
        <w:rPr>
          <w:rFonts w:ascii="Times New Roman" w:hAnsi="Times New Roman" w:cs="David Libre"/>
          <w:b w:val="false"/>
          <w:bCs w:val="false"/>
          <w:i w:val="false"/>
          <w:i w:val="false"/>
          <w:iCs w:val="false"/>
          <w:sz w:val="24"/>
          <w:szCs w:val="24"/>
          <w:u w:val="none"/>
        </w:rPr>
      </w:pPr>
      <w:r>
        <w:rPr/>
      </w:r>
    </w:p>
    <w:sectPr>
      <w:headerReference w:type="default" r:id="rId2"/>
      <w:footnotePr>
        <w:numFmt w:val="decimal"/>
      </w:footnotePr>
      <w:type w:val="nextPage"/>
      <w:pgSz w:w="12240" w:h="15840"/>
      <w:pgMar w:left="1134" w:right="1134" w:gutter="0" w:header="1134" w:top="1693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Aristotle, “Metaphysics Alpha”. in </w:t>
      </w:r>
      <w:r>
        <w:rPr>
          <w:i/>
          <w:iCs/>
        </w:rPr>
        <w:t xml:space="preserve"> “Aristotle’s Metaphysics” – </w:t>
      </w:r>
      <w:r>
        <w:rPr>
          <w:i w:val="false"/>
          <w:iCs w:val="false"/>
        </w:rPr>
        <w:t xml:space="preserve">second edition. Tr Joe Sachs (Santa Fe: Green Lion Press, 1999), p.1, para. </w:t>
      </w:r>
      <w:r>
        <w:rPr/>
        <w:t>981a</w:t>
      </w:r>
    </w:p>
  </w:footnote>
  <w:footnote w:id="3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Ibid. para. </w:t>
      </w:r>
      <w:r>
        <w:rPr/>
        <w:t>981a 10</w:t>
      </w:r>
    </w:p>
  </w:footnote>
  <w:footnote w:id="4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Ibid. p.2, </w:t>
      </w:r>
      <w:r>
        <w:rPr/>
        <w:t>981a 20</w:t>
      </w:r>
    </w:p>
  </w:footnote>
  <w:footnote w:id="5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Ibid. para. </w:t>
      </w:r>
      <w:r>
        <w:rPr/>
        <w:t>981a 30</w:t>
      </w:r>
    </w:p>
  </w:footnote>
  <w:footnote w:id="6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Ibid.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rFonts w:ascii="Times New Roman" w:hAnsi="Times New Roman"/>
        <w:b/>
        <w:bCs/>
      </w:rPr>
    </w:pPr>
    <w:r>
      <w:rPr>
        <w:rFonts w:ascii="Times New Roman" w:hAnsi="Times New Roman"/>
        <w:b/>
        <w:bCs/>
      </w:rPr>
      <w:t>207130253</w:t>
    </w:r>
  </w:p>
</w:hdr>
</file>

<file path=word/settings.xml><?xml version="1.0" encoding="utf-8"?>
<w:settings xmlns:w="http://schemas.openxmlformats.org/wordprocessingml/2006/main">
  <w:zoom w:percent="106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DefaultParagraphFont">
    <w:name w:val="Default Paragraph Font"/>
    <w:qFormat/>
    <w:rPr/>
  </w:style>
  <w:style w:type="character" w:styleId="WW8Num5z0">
    <w:name w:val="WW8Num5z0"/>
    <w:qFormat/>
    <w:rPr>
      <w:rFonts w:ascii="Calibri" w:hAnsi="Calibri" w:eastAsia="Calibri" w:cs="Arial"/>
    </w:rPr>
  </w:style>
  <w:style w:type="character" w:styleId="WW8Num5z1">
    <w:name w:val="WW8Num5z1"/>
    <w:qFormat/>
    <w:rPr>
      <w:b/>
      <w:bCs/>
    </w:rPr>
  </w:style>
  <w:style w:type="character" w:styleId="EndnoteCharacters">
    <w:name w:val="Endnote Characters"/>
    <w:qFormat/>
    <w:rPr/>
  </w:style>
  <w:style w:type="character" w:styleId="EndnoteAnchor">
    <w:name w:val="Endnote Reference"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left="0" w:right="0"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Style13">
    <w:name w:val="אקדמי"/>
    <w:basedOn w:val="Normal"/>
    <w:autoRedefine/>
    <w:qFormat/>
    <w:pPr>
      <w:bidi w:val="0"/>
      <w:spacing w:lineRule="auto" w:line="360" w:before="0" w:after="0"/>
      <w:ind w:left="0" w:right="0" w:firstLine="58"/>
      <w:contextualSpacing/>
      <w:jc w:val="both"/>
    </w:pPr>
    <w:rPr>
      <w:rFonts w:ascii="Times New Roman" w:hAnsi="Times New Roman" w:cs="David Libre"/>
      <w:b/>
      <w:bCs/>
      <w:i w:val="false"/>
      <w:iCs w:val="false"/>
      <w:sz w:val="24"/>
      <w:szCs w:val="24"/>
      <w:u w:val="single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4542</TotalTime>
  <Application>LibreOffice/7.5.2.2$Linux_X86_64 LibreOffice_project/50$Build-2</Application>
  <AppVersion>15.0000</AppVersion>
  <Pages>2</Pages>
  <Words>233</Words>
  <Characters>1164</Characters>
  <CharactersWithSpaces>1395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2023-04-24T12:40:21Z</dcterms:created>
  <dc:creator/>
  <dc:description/>
  <dc:language>en-US</dc:language>
  <cp:lastModifiedBy/>
  <dcterms:modified xsi:type="dcterms:W3CDTF">2023-04-30T14:05:31Z</dcterms:modified>
  <cp:revision>48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