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B31D2" w14:textId="77777777" w:rsidR="00590CFD" w:rsidRDefault="00000000">
      <w:pPr>
        <w:pStyle w:val="Academic"/>
        <w:ind w:firstLine="0"/>
      </w:pPr>
      <w:commentRangeStart w:id="0"/>
      <w:commentRangeStart w:id="1"/>
      <w:r>
        <w:rPr>
          <w:rFonts w:ascii="David" w:hAnsi="David" w:cs="David"/>
          <w:b w:val="0"/>
          <w:bCs w:val="0"/>
          <w:rtl/>
        </w:rPr>
        <w:t>ה</w:t>
      </w:r>
      <w:commentRangeEnd w:id="1"/>
      <w:r w:rsidR="002C68BC">
        <w:rPr>
          <w:rStyle w:val="CommentReference"/>
          <w:rFonts w:ascii="Liberation Serif" w:hAnsi="Liberation Serif" w:cs="Mangal"/>
          <w:b w:val="0"/>
          <w:bCs w:val="0"/>
          <w:rtl/>
        </w:rPr>
        <w:commentReference w:id="1"/>
      </w:r>
      <w:r>
        <w:rPr>
          <w:rFonts w:ascii="David" w:hAnsi="David" w:cs="David"/>
          <w:b w:val="0"/>
          <w:bCs w:val="0"/>
          <w:rtl/>
        </w:rPr>
        <w:t>אבולוציה בראה את בני האדם שונים, מתוקף המציאות השונה שבה הם חיים.</w:t>
      </w:r>
      <w:commentRangeEnd w:id="0"/>
      <w:r>
        <w:commentReference w:id="0"/>
      </w:r>
      <w:r>
        <w:rPr>
          <w:rFonts w:ascii="David" w:hAnsi="David" w:cs="David"/>
          <w:b w:val="0"/>
          <w:bCs w:val="0"/>
          <w:rtl/>
        </w:rPr>
        <w:t xml:space="preserve"> </w:t>
      </w:r>
      <w:commentRangeStart w:id="2"/>
      <w:r>
        <w:rPr>
          <w:rFonts w:ascii="David" w:hAnsi="David" w:cs="David"/>
          <w:b w:val="0"/>
          <w:bCs w:val="0"/>
          <w:rtl/>
        </w:rPr>
        <w:t>גופו, שכלו הישר, קשריו החברתיים, וסביבתו של כל אדם ואדם יעצבו בו תפיסת מציאות ייחודית לו, כשם שהמציאות שבה נאלץ לשרוד ייחודית</w:t>
      </w:r>
      <w:commentRangeEnd w:id="2"/>
      <w:r>
        <w:commentReference w:id="2"/>
      </w:r>
      <w:r>
        <w:rPr>
          <w:rFonts w:ascii="David" w:hAnsi="David" w:cs="David"/>
          <w:b w:val="0"/>
          <w:bCs w:val="0"/>
          <w:rtl/>
        </w:rPr>
        <w:t xml:space="preserve">. </w:t>
      </w:r>
      <w:commentRangeStart w:id="3"/>
      <w:r>
        <w:rPr>
          <w:rFonts w:ascii="David" w:hAnsi="David" w:cs="David"/>
          <w:b w:val="0"/>
          <w:bCs w:val="0"/>
          <w:rtl/>
        </w:rPr>
        <w:t xml:space="preserve">אחד </w:t>
      </w:r>
      <w:commentRangeEnd w:id="3"/>
      <w:r w:rsidR="002C68BC">
        <w:rPr>
          <w:rStyle w:val="CommentReference"/>
          <w:rFonts w:ascii="Liberation Serif" w:hAnsi="Liberation Serif" w:cs="Mangal"/>
          <w:b w:val="0"/>
          <w:bCs w:val="0"/>
          <w:rtl/>
        </w:rPr>
        <w:commentReference w:id="3"/>
      </w:r>
      <w:r>
        <w:rPr>
          <w:rFonts w:ascii="David" w:hAnsi="David" w:cs="David"/>
          <w:b w:val="0"/>
          <w:bCs w:val="0"/>
          <w:rtl/>
        </w:rPr>
        <w:t xml:space="preserve">יגזול </w:t>
      </w:r>
      <w:r>
        <w:rPr>
          <w:rFonts w:ascii="David" w:hAnsi="David" w:cs="David"/>
          <w:b w:val="0"/>
          <w:bCs w:val="0"/>
          <w:color w:val="000000"/>
          <w:rtl/>
        </w:rPr>
        <w:t>מרעהו</w:t>
      </w:r>
      <w:r>
        <w:rPr>
          <w:rFonts w:ascii="David" w:hAnsi="David" w:cs="David"/>
          <w:b w:val="0"/>
          <w:bCs w:val="0"/>
          <w:rtl/>
        </w:rPr>
        <w:t xml:space="preserve"> בכוח, אחר ישים מבטחו בכוח עליון, ושלישי יסתמך על חריפות שכלו, והשקפת עולמם תיפרד בהתאם. </w:t>
      </w:r>
      <w:commentRangeStart w:id="4"/>
      <w:r>
        <w:rPr>
          <w:rFonts w:ascii="David" w:hAnsi="David" w:cs="David"/>
          <w:b w:val="0"/>
          <w:bCs w:val="0"/>
          <w:rtl/>
        </w:rPr>
        <w:t xml:space="preserve">כשם שתהליך זה מתרחש ברמת הפרט, הוא מתרחש ברמת החברה </w:t>
      </w:r>
      <w:commentRangeEnd w:id="4"/>
      <w:r w:rsidR="002C68BC">
        <w:rPr>
          <w:rStyle w:val="CommentReference"/>
          <w:rFonts w:ascii="Liberation Serif" w:hAnsi="Liberation Serif" w:cs="Mangal"/>
          <w:b w:val="0"/>
          <w:bCs w:val="0"/>
          <w:rtl/>
        </w:rPr>
        <w:commentReference w:id="4"/>
      </w:r>
      <w:r>
        <w:rPr>
          <w:rFonts w:ascii="David" w:hAnsi="David" w:cs="David"/>
          <w:b w:val="0"/>
          <w:bCs w:val="0"/>
          <w:rtl/>
        </w:rPr>
        <w:t>- ובורא תרבויות שונות, שהשקפת עולמן שונה לחלוטין. חלקן תופסות את העולם כמאבק נצחי, שבו על החזק לגזול מן החלש. אחרות יציבו כוח עליון כעיקרון השולט, שעל בני האדם להיות כפופים לו. אחרות יטענו לעליונותן מתוקף הידע, התרבות או המוסר שלהן.</w:t>
      </w:r>
    </w:p>
    <w:p w14:paraId="17C30F2C" w14:textId="77777777" w:rsidR="00590CFD" w:rsidRDefault="00000000">
      <w:pPr>
        <w:pStyle w:val="Academic"/>
      </w:pPr>
      <w:commentRangeStart w:id="5"/>
      <w:r>
        <w:rPr>
          <w:rFonts w:ascii="David" w:hAnsi="David" w:cs="David"/>
          <w:b w:val="0"/>
          <w:bCs w:val="0"/>
          <w:rtl/>
        </w:rPr>
        <w:t>חרף הבדלים אלו</w:t>
      </w:r>
      <w:commentRangeEnd w:id="5"/>
      <w:r w:rsidR="002C68BC">
        <w:rPr>
          <w:rStyle w:val="CommentReference"/>
          <w:rFonts w:ascii="Liberation Serif" w:hAnsi="Liberation Serif" w:cs="Mangal"/>
          <w:b w:val="0"/>
          <w:bCs w:val="0"/>
          <w:rtl/>
        </w:rPr>
        <w:commentReference w:id="5"/>
      </w:r>
      <w:r>
        <w:rPr>
          <w:rFonts w:ascii="David" w:hAnsi="David" w:cs="David"/>
          <w:b w:val="0"/>
          <w:bCs w:val="0"/>
          <w:rtl/>
        </w:rPr>
        <w:t>, כל בני האדם, בהיותם יצורים חברתיים מי</w:t>
      </w:r>
      <w:r>
        <w:rPr>
          <w:rFonts w:ascii="David" w:hAnsi="David" w:cs="David"/>
          <w:b w:val="0"/>
          <w:bCs w:val="0"/>
          <w:rtl/>
          <w:lang w:bidi="he-IL"/>
        </w:rPr>
        <w:t>י</w:t>
      </w:r>
      <w:r>
        <w:rPr>
          <w:rFonts w:ascii="David" w:hAnsi="David" w:cs="David"/>
          <w:b w:val="0"/>
          <w:bCs w:val="0"/>
          <w:rtl/>
        </w:rPr>
        <w:t>צרם הבסיסי ביותר, מתמודדים עם שאלה מהותית – האם כל בני האדם שווים?</w:t>
      </w:r>
      <w:r>
        <w:rPr>
          <w:rFonts w:ascii="David" w:hAnsi="David" w:cs="David"/>
          <w:b w:val="0"/>
          <w:bCs w:val="0"/>
          <w:rtl/>
          <w:lang w:bidi="he-IL"/>
        </w:rPr>
        <w:t xml:space="preserve"> </w:t>
      </w:r>
      <w:r>
        <w:rPr>
          <w:rFonts w:ascii="David" w:hAnsi="David" w:cs="David"/>
          <w:b w:val="0"/>
          <w:bCs w:val="0"/>
          <w:rtl/>
        </w:rPr>
        <w:t xml:space="preserve">אך שאלה זו </w:t>
      </w:r>
      <w:commentRangeStart w:id="6"/>
      <w:r>
        <w:rPr>
          <w:rFonts w:ascii="David" w:hAnsi="David" w:cs="David"/>
          <w:b w:val="0"/>
          <w:bCs w:val="0"/>
          <w:rtl/>
        </w:rPr>
        <w:t xml:space="preserve">דורשת שאלה אחרת </w:t>
      </w:r>
      <w:commentRangeEnd w:id="6"/>
      <w:r w:rsidR="002C68BC">
        <w:rPr>
          <w:rStyle w:val="CommentReference"/>
          <w:rFonts w:ascii="Liberation Serif" w:hAnsi="Liberation Serif" w:cs="Mangal"/>
          <w:b w:val="0"/>
          <w:bCs w:val="0"/>
          <w:rtl/>
        </w:rPr>
        <w:commentReference w:id="6"/>
      </w:r>
      <w:r>
        <w:rPr>
          <w:rFonts w:ascii="David" w:hAnsi="David" w:cs="David"/>
          <w:b w:val="0"/>
          <w:bCs w:val="0"/>
          <w:rtl/>
        </w:rPr>
        <w:t>– שווים כיצד?</w:t>
      </w:r>
      <w:r>
        <w:rPr>
          <w:rFonts w:ascii="David" w:hAnsi="David" w:cs="David"/>
          <w:b w:val="0"/>
          <w:bCs w:val="0"/>
          <w:rtl/>
          <w:lang w:bidi="he-IL"/>
        </w:rPr>
        <w:t xml:space="preserve"> </w:t>
      </w:r>
      <w:r>
        <w:rPr>
          <w:rFonts w:ascii="David" w:hAnsi="David" w:cs="David"/>
          <w:b w:val="0"/>
          <w:bCs w:val="0"/>
          <w:rtl/>
        </w:rPr>
        <w:t xml:space="preserve">מצוהר השקפת עולמם הצרה, כל אדם וכל תרבות יתיימרו לתת תשובה כלשהי, שבסיסה עיקרון שונה. תשובה זו לעד תהיה חלקית, מעצם ביסוסה על תפיסת עולם חלקית. בספרטה העתיקה, שווים הם מי שלוחמים בצבא. באפגאניסטן, שווים הם מי שמצייתים לחוקי הדת. בארצות הברית, שווים הם מי שמשלמים מיסים. תפיסות שונות אלו יובילו בהכרח לחילוקי דעות </w:t>
      </w:r>
      <w:r>
        <w:rPr>
          <w:rFonts w:ascii="David" w:hAnsi="David" w:cs="David"/>
          <w:b w:val="0"/>
          <w:bCs w:val="0"/>
          <w:rtl/>
          <w:lang w:bidi="he-IL"/>
        </w:rPr>
        <w:t>שדינן</w:t>
      </w:r>
      <w:r>
        <w:rPr>
          <w:rFonts w:ascii="David" w:hAnsi="David" w:cs="David"/>
          <w:b w:val="0"/>
          <w:bCs w:val="0"/>
          <w:rtl/>
        </w:rPr>
        <w:t xml:space="preserve"> להתקיים בכל קנה מידה – בין שאלו בין בני שיח, שותפים לארגון כלשהו או אומות העולם. בני האדם, איפוא, לעולם </w:t>
      </w:r>
      <w:r>
        <w:rPr>
          <w:rFonts w:ascii="David" w:hAnsi="David" w:cs="David"/>
          <w:b w:val="0"/>
          <w:bCs w:val="0"/>
          <w:rtl/>
          <w:lang w:bidi="he-IL"/>
        </w:rPr>
        <w:t>לא</w:t>
      </w:r>
      <w:r>
        <w:rPr>
          <w:rFonts w:ascii="David" w:hAnsi="David" w:cs="David"/>
          <w:b w:val="0"/>
          <w:bCs w:val="0"/>
          <w:rtl/>
        </w:rPr>
        <w:t xml:space="preserve"> יסכימו על טיב השוויון מהו. ו</w:t>
      </w:r>
      <w:commentRangeStart w:id="7"/>
      <w:r>
        <w:rPr>
          <w:rFonts w:ascii="David" w:hAnsi="David" w:cs="David"/>
          <w:b w:val="0"/>
          <w:bCs w:val="0"/>
          <w:rtl/>
        </w:rPr>
        <w:t>אם לעולם לא תשרור הסכמה אודות טיב השוויון – הרי שהעיסוק בשאלת השוויון בין בני אדם בכללותו תפל.</w:t>
      </w:r>
      <w:commentRangeEnd w:id="7"/>
      <w:r>
        <w:commentReference w:id="7"/>
      </w:r>
    </w:p>
    <w:p w14:paraId="3129C235" w14:textId="77777777" w:rsidR="00590CFD" w:rsidRDefault="00000000">
      <w:pPr>
        <w:pStyle w:val="Academic"/>
      </w:pPr>
      <w:commentRangeStart w:id="8"/>
      <w:r>
        <w:rPr>
          <w:rFonts w:ascii="David" w:hAnsi="David" w:cs="David"/>
          <w:b w:val="0"/>
          <w:bCs w:val="0"/>
          <w:rtl/>
        </w:rPr>
        <w:t xml:space="preserve">השוויון, איפוא, אינו עיקרון </w:t>
      </w:r>
      <w:commentRangeStart w:id="9"/>
      <w:r>
        <w:rPr>
          <w:rFonts w:ascii="David" w:hAnsi="David" w:cs="David"/>
          <w:b w:val="0"/>
          <w:bCs w:val="0"/>
          <w:rtl/>
        </w:rPr>
        <w:t xml:space="preserve">נצחי </w:t>
      </w:r>
      <w:commentRangeEnd w:id="9"/>
      <w:r w:rsidR="00CF01CF">
        <w:rPr>
          <w:rStyle w:val="CommentReference"/>
          <w:rFonts w:ascii="Liberation Serif" w:hAnsi="Liberation Serif" w:cs="Mangal"/>
          <w:b w:val="0"/>
          <w:bCs w:val="0"/>
          <w:rtl/>
        </w:rPr>
        <w:commentReference w:id="9"/>
      </w:r>
      <w:r>
        <w:rPr>
          <w:rFonts w:ascii="David" w:hAnsi="David" w:cs="David"/>
          <w:b w:val="0"/>
          <w:bCs w:val="0"/>
          <w:rtl/>
        </w:rPr>
        <w:t>החל על כלל בני האדם - אלא ביטוי להשקפת העולם של קבוצות בני אדם, כפי שזו חלה על אלו שמקבלים עליהם מרותה</w:t>
      </w:r>
      <w:commentRangeEnd w:id="8"/>
      <w:r>
        <w:commentReference w:id="8"/>
      </w:r>
      <w:r>
        <w:rPr>
          <w:rFonts w:ascii="David" w:hAnsi="David" w:cs="David"/>
          <w:b w:val="0"/>
          <w:bCs w:val="0"/>
          <w:rtl/>
        </w:rPr>
        <w:t>. בבסיס זכות ההצבעה השווה לכל האזרחים, למשל, עומד עיקרון השוויון הפוליטי - לפיו כל בני האדם, מתוקף שוויונם, זכאים במידה שווה להשפיע על השלטון במדינתם. לשאלה מדוע כל אדם שווה בכוחו הפוליטי, ככזו הנשענת על השוויון בין בני האדם, סביר שלא נמצא תשובה המוסכמת על כלל המצביעים לעולם, והרי שאין בכוחה לתקף עיקרון זה. נכון יותר יהיה להגיד שזכות ההצבעה שווה בין כולם משום שעל כולם מוסכם הסדר זה, המשמר את הסדר החברתי המיטיב עמם. באופן דומה, בבסיס השויון בפני החוק עומדת התפיסה כי על חוקי המדינה לחול באופן שווה על כלל אזרחיה. אולם בפועל הנשפט, השופט, המעשה, הנסיבות והדין לעד יהיו שונים. לשאלה כיצד בפועל חל החוק באופן שוויוני על כולם אין זה סביר שנמצא תשובה מוסכמת. נכון יותר יהיה להגיד שכל אזרח, משום שבוחר לקבל את שהמדינה מספקת, מקבל עליו את מרותם של אלו שהמדינה הציבה כשופטים ומחוקקים.</w:t>
      </w:r>
      <w:commentRangeStart w:id="10"/>
      <w:r>
        <w:rPr>
          <w:rFonts w:ascii="David" w:hAnsi="David" w:cs="David"/>
          <w:b w:val="0"/>
          <w:bCs w:val="0"/>
          <w:rtl/>
        </w:rPr>
        <w:t xml:space="preserve"> השוויון, במהותו, נותר ללא תוקף, ואינו אלא כסות חלולה למציאות כפי שמתשקפת בפני המחזיקים בה. הטבע </w:t>
      </w:r>
      <w:r>
        <w:rPr>
          <w:rFonts w:ascii="David" w:hAnsi="David" w:cs="David"/>
          <w:b w:val="0"/>
          <w:bCs w:val="0"/>
          <w:rtl/>
          <w:lang w:bidi="he-IL"/>
        </w:rPr>
        <w:t>לא</w:t>
      </w:r>
      <w:r>
        <w:rPr>
          <w:rFonts w:ascii="David" w:hAnsi="David" w:cs="David"/>
          <w:b w:val="0"/>
          <w:bCs w:val="0"/>
          <w:rtl/>
        </w:rPr>
        <w:t xml:space="preserve"> ברא את השוויון – רק האדם</w:t>
      </w:r>
      <w:commentRangeEnd w:id="10"/>
      <w:r>
        <w:commentReference w:id="10"/>
      </w:r>
      <w:commentRangeStart w:id="11"/>
      <w:commentRangeStart w:id="12"/>
      <w:r>
        <w:rPr>
          <w:rFonts w:ascii="David" w:hAnsi="David" w:cs="David"/>
          <w:b w:val="0"/>
          <w:bCs w:val="0"/>
          <w:rtl/>
        </w:rPr>
        <w:t>.</w:t>
      </w:r>
      <w:commentRangeEnd w:id="11"/>
      <w:r w:rsidR="00CF01CF">
        <w:rPr>
          <w:rStyle w:val="CommentReference"/>
          <w:rFonts w:ascii="Liberation Serif" w:hAnsi="Liberation Serif" w:cs="Mangal"/>
          <w:b w:val="0"/>
          <w:bCs w:val="0"/>
          <w:rtl/>
        </w:rPr>
        <w:commentReference w:id="11"/>
      </w:r>
      <w:commentRangeEnd w:id="12"/>
      <w:r w:rsidR="00CF01CF">
        <w:rPr>
          <w:rStyle w:val="CommentReference"/>
          <w:rFonts w:ascii="Liberation Serif" w:hAnsi="Liberation Serif" w:cs="Mangal"/>
          <w:b w:val="0"/>
          <w:bCs w:val="0"/>
          <w:rtl/>
        </w:rPr>
        <w:commentReference w:id="12"/>
      </w:r>
    </w:p>
    <w:sectPr w:rsidR="00590CFD">
      <w:pgSz w:w="12240" w:h="15840"/>
      <w:pgMar w:top="1134" w:right="1134" w:bottom="1134" w:left="1134" w:header="0" w:footer="0" w:gutter="0"/>
      <w:cols w:space="720"/>
      <w:formProt w:val="0"/>
      <w:docGrid w:linePitch="600" w:charSpace="3276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Dan Tenne" w:date="2022-12-29T23:02:00Z" w:initials="DT">
    <w:p w14:paraId="030E47C0" w14:textId="77777777" w:rsidR="002C68BC" w:rsidRDefault="002C68BC" w:rsidP="00851073">
      <w:pPr>
        <w:pStyle w:val="CommentText"/>
      </w:pPr>
      <w:r>
        <w:rPr>
          <w:rStyle w:val="CommentReference"/>
        </w:rPr>
        <w:annotationRef/>
      </w:r>
      <w:r>
        <w:rPr>
          <w:rFonts w:cs="Times New Roman"/>
          <w:rtl/>
          <w:lang w:bidi="he-IL"/>
        </w:rPr>
        <w:t xml:space="preserve">אין להוסיף הערות לטקסט עצמו. </w:t>
      </w:r>
    </w:p>
  </w:comment>
  <w:comment w:id="0" w:author="Unknown Author" w:date="2022-12-11T22:55:00Z" w:initials="">
    <w:p w14:paraId="2A0C4013" w14:textId="6352A935" w:rsidR="00590CFD" w:rsidRDefault="00000000">
      <w:r>
        <w:rPr>
          <w:rFonts w:eastAsia="Noto Sans" w:cs="David CLM"/>
          <w:bCs/>
          <w:kern w:val="0"/>
          <w:sz w:val="20"/>
          <w:lang w:eastAsia="en-US" w:bidi="he-IL"/>
        </w:rPr>
        <w:t xml:space="preserve">טיעון </w:t>
      </w:r>
      <w:r>
        <w:rPr>
          <w:rFonts w:eastAsia="Noto Sans" w:cs="David CLM"/>
          <w:b/>
          <w:bCs/>
          <w:kern w:val="0"/>
          <w:sz w:val="20"/>
          <w:lang w:eastAsia="en-US" w:bidi="he-IL"/>
        </w:rPr>
        <w:t>1</w:t>
      </w:r>
      <w:r>
        <w:rPr>
          <w:rFonts w:eastAsia="Noto Sans" w:cs="David CLM"/>
          <w:bCs/>
          <w:kern w:val="0"/>
          <w:sz w:val="20"/>
          <w:lang w:eastAsia="en-US" w:bidi="he-IL"/>
        </w:rPr>
        <w:t xml:space="preserve"> – מציאות שונה בוראת בני אדם שונים</w:t>
      </w:r>
    </w:p>
  </w:comment>
  <w:comment w:id="2" w:author="Unknown Author" w:date="2022-12-11T22:56:00Z" w:initials="">
    <w:p w14:paraId="3302E40E" w14:textId="77777777" w:rsidR="00590CFD" w:rsidRDefault="00000000">
      <w:r>
        <w:rPr>
          <w:rFonts w:eastAsia="Noto Sans" w:cs="David CLM"/>
          <w:bCs/>
          <w:kern w:val="0"/>
          <w:sz w:val="20"/>
          <w:lang w:eastAsia="en-US" w:bidi="he-IL"/>
        </w:rPr>
        <w:t xml:space="preserve">טיעון </w:t>
      </w:r>
      <w:r>
        <w:rPr>
          <w:rFonts w:eastAsia="Noto Sans" w:cs="David CLM"/>
          <w:b/>
          <w:bCs/>
          <w:kern w:val="0"/>
          <w:sz w:val="20"/>
          <w:lang w:eastAsia="en-US" w:bidi="he-IL"/>
        </w:rPr>
        <w:t>2</w:t>
      </w:r>
      <w:r>
        <w:rPr>
          <w:rFonts w:eastAsia="Noto Sans" w:cs="David CLM"/>
          <w:bCs/>
          <w:kern w:val="0"/>
          <w:sz w:val="20"/>
          <w:lang w:eastAsia="en-US" w:bidi="he-IL"/>
        </w:rPr>
        <w:t xml:space="preserve"> – שונות מייצרת השקפות עולם שונות ומוגבלות</w:t>
      </w:r>
    </w:p>
  </w:comment>
  <w:comment w:id="3" w:author="Dan Tenne" w:date="2022-12-29T23:03:00Z" w:initials="DT">
    <w:p w14:paraId="4FBCF106" w14:textId="77777777" w:rsidR="002C68BC" w:rsidRDefault="002C68BC" w:rsidP="00822BED">
      <w:pPr>
        <w:pStyle w:val="CommentText"/>
      </w:pPr>
      <w:r>
        <w:rPr>
          <w:rStyle w:val="CommentReference"/>
        </w:rPr>
        <w:annotationRef/>
      </w:r>
      <w:r>
        <w:rPr>
          <w:rFonts w:cs="Times New Roman"/>
          <w:rtl/>
          <w:lang w:bidi="he-IL"/>
        </w:rPr>
        <w:t>המעבר בין הטענות לא ברור, שכן השנייה אמורה להיות המחשה של הראשונה, אך אל כדוגמא אלא כהסבר).</w:t>
      </w:r>
    </w:p>
  </w:comment>
  <w:comment w:id="4" w:author="Dan Tenne" w:date="2022-12-29T23:05:00Z" w:initials="DT">
    <w:p w14:paraId="296C688C" w14:textId="77777777" w:rsidR="002C68BC" w:rsidRDefault="002C68BC" w:rsidP="00DA45B3">
      <w:pPr>
        <w:pStyle w:val="CommentText"/>
      </w:pPr>
      <w:r>
        <w:rPr>
          <w:rStyle w:val="CommentReference"/>
        </w:rPr>
        <w:annotationRef/>
      </w:r>
      <w:r>
        <w:rPr>
          <w:rFonts w:cs="Times New Roman"/>
          <w:rtl/>
          <w:lang w:bidi="he-IL"/>
        </w:rPr>
        <w:t>מעניין, שכן ניתן לתקוף אנלוגיה זו (החברה היא שמקיפה את היחיד).</w:t>
      </w:r>
    </w:p>
  </w:comment>
  <w:comment w:id="5" w:author="Dan Tenne" w:date="2022-12-29T23:06:00Z" w:initials="DT">
    <w:p w14:paraId="3860324D" w14:textId="77777777" w:rsidR="002C68BC" w:rsidRDefault="002C68BC" w:rsidP="002B5B0A">
      <w:pPr>
        <w:pStyle w:val="CommentText"/>
      </w:pPr>
      <w:r>
        <w:rPr>
          <w:rStyle w:val="CommentReference"/>
        </w:rPr>
        <w:annotationRef/>
      </w:r>
      <w:r>
        <w:rPr>
          <w:rFonts w:cs="Times New Roman"/>
          <w:rtl/>
          <w:lang w:bidi="he-IL"/>
        </w:rPr>
        <w:t>הניסוח מעט מחייב מכפי שנדרש: מדוע נדרש לציין שזה 'חרף ההבדלים', או שהשאלה עולה משום ש'בני האדם יצורים חברתיים מיסודם'?</w:t>
      </w:r>
    </w:p>
  </w:comment>
  <w:comment w:id="6" w:author="Dan Tenne" w:date="2022-12-29T23:07:00Z" w:initials="DT">
    <w:p w14:paraId="3DCC0EC8" w14:textId="77777777" w:rsidR="002C68BC" w:rsidRDefault="002C68BC" w:rsidP="00845720">
      <w:pPr>
        <w:pStyle w:val="CommentText"/>
      </w:pPr>
      <w:r>
        <w:rPr>
          <w:rStyle w:val="CommentReference"/>
        </w:rPr>
        <w:annotationRef/>
      </w:r>
      <w:r>
        <w:rPr>
          <w:rFonts w:cs="Times New Roman"/>
          <w:rtl/>
          <w:lang w:bidi="he-IL"/>
        </w:rPr>
        <w:t>ניסוח.</w:t>
      </w:r>
    </w:p>
  </w:comment>
  <w:comment w:id="7" w:author="Unknown Author" w:date="2022-12-10T13:13:00Z" w:initials="">
    <w:p w14:paraId="10F3CE0C" w14:textId="3AD26F6D" w:rsidR="00590CFD" w:rsidRDefault="00000000">
      <w:r>
        <w:rPr>
          <w:rFonts w:eastAsia="Noto Sans" w:cs="David CLM"/>
          <w:bCs/>
          <w:kern w:val="0"/>
          <w:sz w:val="20"/>
          <w:lang w:eastAsia="en-US" w:bidi="he-IL"/>
        </w:rPr>
        <w:t xml:space="preserve">טיעון </w:t>
      </w:r>
      <w:r>
        <w:rPr>
          <w:rFonts w:eastAsia="Noto Sans" w:cs="David CLM"/>
          <w:b/>
          <w:bCs/>
          <w:kern w:val="0"/>
          <w:sz w:val="20"/>
          <w:lang w:eastAsia="en-US" w:bidi="he-IL"/>
        </w:rPr>
        <w:t>מרכזי</w:t>
      </w:r>
      <w:r>
        <w:rPr>
          <w:rFonts w:eastAsia="Noto Sans" w:cs="David CLM"/>
          <w:bCs/>
          <w:kern w:val="0"/>
          <w:sz w:val="20"/>
          <w:lang w:eastAsia="en-US" w:bidi="he-IL"/>
        </w:rPr>
        <w:t xml:space="preserve"> – אם איננו מסכימים על שוויון מהו, העיסוק בשאלה תפל</w:t>
      </w:r>
    </w:p>
  </w:comment>
  <w:comment w:id="9" w:author="Dan Tenne" w:date="2022-12-29T23:13:00Z" w:initials="DT">
    <w:p w14:paraId="7FD807F2" w14:textId="77777777" w:rsidR="00CF01CF" w:rsidRDefault="00CF01CF" w:rsidP="00466699">
      <w:pPr>
        <w:pStyle w:val="CommentText"/>
      </w:pPr>
      <w:r>
        <w:rPr>
          <w:rStyle w:val="CommentReference"/>
        </w:rPr>
        <w:annotationRef/>
      </w:r>
      <w:r>
        <w:rPr>
          <w:rFonts w:cs="Times New Roman"/>
          <w:rtl/>
          <w:lang w:bidi="he-IL"/>
        </w:rPr>
        <w:t>מוטב כאן - כללי.</w:t>
      </w:r>
    </w:p>
  </w:comment>
  <w:comment w:id="8" w:author="Unknown Author" w:date="2022-12-11T22:53:00Z" w:initials="">
    <w:p w14:paraId="7434577B" w14:textId="434F9275" w:rsidR="00590CFD" w:rsidRDefault="00000000">
      <w:r>
        <w:rPr>
          <w:rFonts w:eastAsia="Noto Sans" w:cs="David CLM"/>
          <w:bCs/>
          <w:kern w:val="0"/>
          <w:sz w:val="20"/>
          <w:lang w:eastAsia="en-US" w:bidi="he-IL"/>
        </w:rPr>
        <w:t>מסקנה - שוויון אינו אלא קבלת מרותו של הארגון בו אדם חי.</w:t>
      </w:r>
    </w:p>
  </w:comment>
  <w:comment w:id="10" w:author="Unknown Author" w:date="2022-12-11T23:12:00Z" w:initials="">
    <w:p w14:paraId="170D0192" w14:textId="77777777" w:rsidR="00590CFD" w:rsidRDefault="00000000">
      <w:r>
        <w:rPr>
          <w:rFonts w:eastAsia="Noto Sans" w:cs="David CLM"/>
          <w:bCs/>
          <w:kern w:val="0"/>
          <w:sz w:val="20"/>
          <w:lang w:eastAsia="en-US" w:bidi="he-IL"/>
        </w:rPr>
        <w:t>מסקנה מוחלטת וסופית.</w:t>
      </w:r>
    </w:p>
  </w:comment>
  <w:comment w:id="11" w:author="Dan Tenne" w:date="2022-12-29T23:13:00Z" w:initials="DT">
    <w:p w14:paraId="46A6F9D9" w14:textId="77777777" w:rsidR="00CF01CF" w:rsidRDefault="00CF01CF" w:rsidP="00042E55">
      <w:pPr>
        <w:pStyle w:val="CommentText"/>
      </w:pPr>
      <w:r>
        <w:rPr>
          <w:rStyle w:val="CommentReference"/>
        </w:rPr>
        <w:annotationRef/>
      </w:r>
      <w:r>
        <w:rPr>
          <w:rFonts w:cs="Times New Roman"/>
          <w:rtl/>
          <w:lang w:bidi="he-IL"/>
        </w:rPr>
        <w:t>יפה.</w:t>
      </w:r>
    </w:p>
  </w:comment>
  <w:comment w:id="12" w:author="Dan Tenne" w:date="2022-12-29T23:17:00Z" w:initials="DT">
    <w:p w14:paraId="05A03745" w14:textId="77777777" w:rsidR="00CF01CF" w:rsidRDefault="00CF01CF" w:rsidP="007447E5">
      <w:pPr>
        <w:pStyle w:val="CommentText"/>
      </w:pPr>
      <w:r>
        <w:rPr>
          <w:rStyle w:val="CommentReference"/>
        </w:rPr>
        <w:annotationRef/>
      </w:r>
      <w:r>
        <w:rPr>
          <w:rFonts w:cs="Times New Roman"/>
          <w:rtl/>
          <w:lang w:bidi="he-IL"/>
        </w:rPr>
        <w:t>הטענה המרכזית אמורה הייתה להיות מעוגנת בפסקה השנייה, כאשר הדיון כאן אמור היה לבטא השלכות אפשריות. המהלך שאתה מוביל כאן בנוי כך שפסגתו מופיעה רק כעת.</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30E47C0" w15:done="0"/>
  <w15:commentEx w15:paraId="2A0C4013" w15:done="0"/>
  <w15:commentEx w15:paraId="3302E40E" w15:done="0"/>
  <w15:commentEx w15:paraId="4FBCF106" w15:done="0"/>
  <w15:commentEx w15:paraId="296C688C" w15:done="0"/>
  <w15:commentEx w15:paraId="3860324D" w15:done="0"/>
  <w15:commentEx w15:paraId="3DCC0EC8" w15:done="0"/>
  <w15:commentEx w15:paraId="10F3CE0C" w15:done="0"/>
  <w15:commentEx w15:paraId="7FD807F2" w15:done="0"/>
  <w15:commentEx w15:paraId="7434577B" w15:done="0"/>
  <w15:commentEx w15:paraId="170D0192" w15:done="0"/>
  <w15:commentEx w15:paraId="46A6F9D9" w15:done="0"/>
  <w15:commentEx w15:paraId="05A0374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589B08" w16cex:dateUtc="2022-12-29T21:02:00Z"/>
  <w16cex:commentExtensible w16cex:durableId="27589B47" w16cex:dateUtc="2022-12-29T21:03:00Z"/>
  <w16cex:commentExtensible w16cex:durableId="27589BA2" w16cex:dateUtc="2022-12-29T21:05:00Z"/>
  <w16cex:commentExtensible w16cex:durableId="27589C02" w16cex:dateUtc="2022-12-29T21:06:00Z"/>
  <w16cex:commentExtensible w16cex:durableId="27589C16" w16cex:dateUtc="2022-12-29T21:07:00Z"/>
  <w16cex:commentExtensible w16cex:durableId="27589D90" w16cex:dateUtc="2022-12-29T21:13:00Z"/>
  <w16cex:commentExtensible w16cex:durableId="27589DAC" w16cex:dateUtc="2022-12-29T21:13:00Z"/>
  <w16cex:commentExtensible w16cex:durableId="27589E8A" w16cex:dateUtc="2022-12-29T21: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30E47C0" w16cid:durableId="27589B08"/>
  <w16cid:commentId w16cid:paraId="2A0C4013" w16cid:durableId="27589AD8"/>
  <w16cid:commentId w16cid:paraId="3302E40E" w16cid:durableId="27589AD9"/>
  <w16cid:commentId w16cid:paraId="4FBCF106" w16cid:durableId="27589B47"/>
  <w16cid:commentId w16cid:paraId="296C688C" w16cid:durableId="27589BA2"/>
  <w16cid:commentId w16cid:paraId="3860324D" w16cid:durableId="27589C02"/>
  <w16cid:commentId w16cid:paraId="3DCC0EC8" w16cid:durableId="27589C16"/>
  <w16cid:commentId w16cid:paraId="10F3CE0C" w16cid:durableId="27589ADA"/>
  <w16cid:commentId w16cid:paraId="7FD807F2" w16cid:durableId="27589D90"/>
  <w16cid:commentId w16cid:paraId="7434577B" w16cid:durableId="27589ADB"/>
  <w16cid:commentId w16cid:paraId="170D0192" w16cid:durableId="27589ADC"/>
  <w16cid:commentId w16cid:paraId="46A6F9D9" w16cid:durableId="27589DAC"/>
  <w16cid:commentId w16cid:paraId="05A03745" w16cid:durableId="27589E8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imbus Sans">
    <w:panose1 w:val="00000000000000000000"/>
    <w:charset w:val="00"/>
    <w:family w:val="roman"/>
    <w:notTrueType/>
    <w:pitch w:val="default"/>
  </w:font>
  <w:font w:name="FreeSans">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1"/>
    <w:family w:val="roman"/>
    <w:pitch w:val="variable"/>
  </w:font>
  <w:font w:name="David Libre">
    <w:altName w:val="Cambria"/>
    <w:panose1 w:val="00000000000000000000"/>
    <w:charset w:val="00"/>
    <w:family w:val="roman"/>
    <w:notTrueType/>
    <w:pitch w:val="default"/>
  </w:font>
  <w:font w:name="David">
    <w:panose1 w:val="020E0502060401010101"/>
    <w:charset w:val="00"/>
    <w:family w:val="swiss"/>
    <w:pitch w:val="variable"/>
    <w:sig w:usb0="00000803" w:usb1="00000000" w:usb2="00000000" w:usb3="00000000" w:csb0="00000021" w:csb1="00000000"/>
  </w:font>
  <w:font w:name="Noto Sans">
    <w:charset w:val="00"/>
    <w:family w:val="swiss"/>
    <w:pitch w:val="variable"/>
    <w:sig w:usb0="E00082FF" w:usb1="400078FF" w:usb2="00000021" w:usb3="00000000" w:csb0="0000019F" w:csb1="00000000"/>
  </w:font>
  <w:font w:name="David CLM">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 Tenne">
    <w15:presenceInfo w15:providerId="AD" w15:userId="S::tenned@post.bgu.ac.il::c28d59b7-e2f7-4949-88be-795fe3ddc54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CFD"/>
    <w:rsid w:val="002C68BC"/>
    <w:rsid w:val="00590CFD"/>
    <w:rsid w:val="00CF01CF"/>
  </w:rsids>
  <m:mathPr>
    <m:mathFont m:val="Cambria Math"/>
    <m:brkBin m:val="before"/>
    <m:brkBinSub m:val="--"/>
    <m:smallFrac m:val="0"/>
    <m:dispDef/>
    <m:lMargin m:val="0"/>
    <m:rMargin m:val="0"/>
    <m:defJc m:val="centerGroup"/>
    <m:wrapIndent m:val="1440"/>
    <m:intLim m:val="subSup"/>
    <m:naryLim m:val="undOvr"/>
  </m:mathPr>
  <w:themeFontLang w:val="en-US" w:eastAsia="" w:bidi="he-IL"/>
  <w:clrSchemeMapping w:bg1="light1" w:t1="dark1" w:bg2="light2" w:t2="dark2" w:accent1="accent1" w:accent2="accent2" w:accent3="accent3" w:accent4="accent4" w:accent5="accent5" w:accent6="accent6" w:hyperlink="hyperlink" w:followedHyperlink="followedHyperlink"/>
  <w:decimalSymbol w:val="."/>
  <w:listSeparator w:val=","/>
  <w14:docId w14:val="5529FE87"/>
  <w15:docId w15:val="{EEB302C5-D158-47BD-B894-BA58751C8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imbus Sans" w:hAnsi="Liberation Serif" w:cs="Free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Pr>
      <w:rFonts w:cs="Mangal"/>
      <w:sz w:val="20"/>
      <w:szCs w:val="18"/>
    </w:rPr>
  </w:style>
  <w:style w:type="character" w:styleId="CommentReference">
    <w:name w:val="annotation reference"/>
    <w:basedOn w:val="DefaultParagraphFont"/>
    <w:uiPriority w:val="99"/>
    <w:semiHidden/>
    <w:unhideWhenUsed/>
    <w:qFormat/>
    <w:rPr>
      <w:sz w:val="16"/>
      <w:szCs w:val="16"/>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Academic">
    <w:name w:val="Academic"/>
    <w:basedOn w:val="Normal"/>
    <w:qFormat/>
    <w:pPr>
      <w:bidi/>
      <w:spacing w:after="115" w:line="360" w:lineRule="auto"/>
      <w:ind w:firstLine="346"/>
      <w:contextualSpacing/>
      <w:jc w:val="both"/>
    </w:pPr>
    <w:rPr>
      <w:rFonts w:ascii="Times New Roman" w:hAnsi="Times New Roman" w:cs="David Libre"/>
      <w:b/>
      <w:bCs/>
    </w:rPr>
  </w:style>
  <w:style w:type="paragraph" w:styleId="CommentText">
    <w:name w:val="annotation text"/>
    <w:basedOn w:val="Normal"/>
    <w:link w:val="CommentTextChar"/>
    <w:uiPriority w:val="99"/>
    <w:unhideWhenUsed/>
    <w:qFormat/>
    <w:rPr>
      <w:rFonts w:cs="Mangal"/>
      <w:sz w:val="20"/>
      <w:szCs w:val="18"/>
    </w:rPr>
  </w:style>
  <w:style w:type="paragraph" w:styleId="CommentSubject">
    <w:name w:val="annotation subject"/>
    <w:basedOn w:val="CommentText"/>
    <w:next w:val="CommentText"/>
    <w:link w:val="CommentSubjectChar"/>
    <w:uiPriority w:val="99"/>
    <w:semiHidden/>
    <w:unhideWhenUsed/>
    <w:rsid w:val="002C68BC"/>
    <w:rPr>
      <w:b/>
      <w:bCs/>
    </w:rPr>
  </w:style>
  <w:style w:type="character" w:customStyle="1" w:styleId="CommentSubjectChar">
    <w:name w:val="Comment Subject Char"/>
    <w:basedOn w:val="CommentTextChar"/>
    <w:link w:val="CommentSubject"/>
    <w:uiPriority w:val="99"/>
    <w:semiHidden/>
    <w:rsid w:val="002C68BC"/>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 Tenne</cp:lastModifiedBy>
  <cp:revision>6</cp:revision>
  <dcterms:created xsi:type="dcterms:W3CDTF">2022-12-12T16:39:00Z</dcterms:created>
  <dcterms:modified xsi:type="dcterms:W3CDTF">2022-12-29T21:17:00Z</dcterms:modified>
  <dc:language>en-US</dc:language>
</cp:coreProperties>
</file>