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>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שליט רב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כוח הוא”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מכריז הרטוריקן 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בנאומו הנודע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בשבחי הלני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בעוד שעל כוחו של הלוגוס  </w:t>
      </w:r>
      <w:r>
        <w:rPr>
          <w:rFonts w:cs="David Libre"/>
          <w:sz w:val="24"/>
          <w:szCs w:val="24"/>
          <w:u w:val="none"/>
          <w:rtl w:val="true"/>
        </w:rPr>
        <w:t>(</w:t>
      </w:r>
      <w:bookmarkStart w:id="0" w:name="firstHeading"/>
      <w:bookmarkEnd w:id="0"/>
      <w:r>
        <w:rPr>
          <w:rFonts w:cs="David Libre"/>
          <w:sz w:val="24"/>
          <w:szCs w:val="24"/>
          <w:u w:val="none"/>
        </w:rPr>
        <w:t>λόγος</w:t>
      </w:r>
      <w:r>
        <w:rPr>
          <w:rFonts w:cs="David Libre"/>
          <w:sz w:val="24"/>
          <w:szCs w:val="24"/>
          <w:u w:val="none"/>
          <w:rtl w:val="true"/>
        </w:rPr>
        <w:t xml:space="preserve">)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אין כל עוררין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אופן השימוש בו מעורר ויכוח מר בין גורגיאס לסוקראטס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האחד מציב אותו כאמצעי לרכישת כוח ועוצמה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בעוד שהשני מציב את מתן הלוגוס כמטרת חקירתו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בחיבור זה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אנסה לעמוד על עוצמתו של הלוגוס כפי שזו נתפסת בעיניי ההוגים הללו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ועל טיבה של הרטוריקה – אומנות </w:t>
      </w:r>
      <w:r>
        <w:rPr>
          <w:rFonts w:cs="David Libre"/>
          <w:sz w:val="24"/>
          <w:szCs w:val="24"/>
          <w:u w:val="none"/>
          <w:rtl w:val="true"/>
        </w:rPr>
        <w:t>(</w:t>
      </w:r>
      <w:r>
        <w:rPr>
          <w:rFonts w:cs="David Libre"/>
          <w:sz w:val="24"/>
          <w:szCs w:val="24"/>
          <w:u w:val="none"/>
        </w:rPr>
        <w:t>τέχνη</w:t>
      </w:r>
      <w:r>
        <w:rPr>
          <w:rFonts w:cs="David Libre"/>
          <w:sz w:val="24"/>
          <w:szCs w:val="24"/>
          <w:u w:val="none"/>
          <w:rtl w:val="true"/>
        </w:rPr>
        <w:t xml:space="preserve">)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השימוש בלוגוס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אציג מדוע סבור גורגיאס כי אומנותו ניצבת בראש האומנויות כולן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ואת התנגדותו של סוקראטס לטענה זו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המגיעה לכדי שלילתה המוחלטת של הרטוריקה כאומנות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לבסוף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אעמוד על שימושו של סוקראטס בלוגוס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ואקביל בינו לבין שימושו של גורגיאס בלוגוס</w:t>
      </w:r>
      <w:r>
        <w:rPr>
          <w:rFonts w:cs="David Libre"/>
          <w:sz w:val="24"/>
          <w:szCs w:val="24"/>
          <w:u w:val="none"/>
          <w:rtl w:val="true"/>
        </w:rPr>
        <w:t xml:space="preserve">.  </w:t>
        <w:tab/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בנאומו הנודע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בשבחי הלני</w:t>
      </w:r>
      <w:r>
        <w:rPr>
          <w:rFonts w:cs="David Libre"/>
          <w:sz w:val="24"/>
          <w:szCs w:val="24"/>
          <w:u w:val="none"/>
          <w:rtl w:val="true"/>
        </w:rPr>
        <w:t xml:space="preserve">, 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מדגים בפנינו את עוצמתו של הלוגוס בניסיונו לטהר את שמה של הדמות המיתולוגית הלני – המואשמת בכך שבריחתה לטרויה בעקבותיו של אהובה אלכסנדר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הציתה את מלחמתה של אתונה בטרויה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ומשום כך נושאת אות קלון בעיניי היוונים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בנאום מרהיב זה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מציג בצבעים עזים את השפעתו של הלוגוס על האדם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וטוען לחפותה של הלני  כקורבן לעוצמתו של זה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מפאת חוסר יכולתם לזכור היטב את העבר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חוסר מודעתם בהווה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ואוזלת ידם בניבוי העתיד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טוען גורגיאס כי בני האדם נסמכים בלית ברירה על הסברה </w:t>
      </w:r>
      <w:r>
        <w:rPr>
          <w:rFonts w:cs="David Libre"/>
          <w:sz w:val="24"/>
          <w:szCs w:val="24"/>
          <w:u w:val="none"/>
          <w:rtl w:val="true"/>
        </w:rPr>
        <w:t>(</w:t>
      </w:r>
      <w:r>
        <w:rPr>
          <w:rFonts w:cs="David Libre"/>
          <w:sz w:val="24"/>
          <w:szCs w:val="24"/>
          <w:u w:val="none"/>
        </w:rPr>
        <w:t>δόξα</w:t>
      </w:r>
      <w:r>
        <w:rPr>
          <w:rFonts w:cs="David Libre"/>
          <w:sz w:val="24"/>
          <w:szCs w:val="24"/>
          <w:u w:val="none"/>
          <w:rtl w:val="true"/>
        </w:rPr>
        <w:t xml:space="preserve">),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אשר בעצתה בוחרים כיצד לפעול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2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סברה זו היא משענת קנה רצוץ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פגיעה להשפעותיו של הרגש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אשר בכוחו לעצב אותה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אומר 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יעיל מאין כמותו בהצתת הרגש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בכוחו להעצים ולדכא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לעורר אושר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לעודד חמלה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להלך אימים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להמיט אבל – הרגש הוא כחימר ביד הלוגוס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כשם שהייתה חפה מאשמה אילו ציוו אותה האלים בצו הגורל לנהוג כשנהגה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טוען גורגיאס לחפותה של הלני משום ששוכנעה תחת השפעה זו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שליטתו של המשכנע בלוגוס ברגש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בסברה וכיוצא מכך באדם היא מוחלטת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בעל הלוגוס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המשכנע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הוא התוקף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והמשוכנע הוא הקורבן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החזק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אומר 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כופה את רצונו על החלש כדרכו של הטבע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כשם שבכוחה של האלוהות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החזקה לאין שיעור מהאנושות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לכפות את רצונה בדמות הגורל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בכוחו של בעל הלוגוס לכפות את רצונו ולעצב את סברתו של כל אדם בדמותו – ולשעבד אותו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מיהו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אפוא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אותו חזק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הכופה את רצונו בכוח הלוגוס</w:t>
      </w:r>
      <w:r>
        <w:rPr>
          <w:rFonts w:cs="David Libre"/>
          <w:sz w:val="24"/>
          <w:szCs w:val="24"/>
          <w:u w:val="none"/>
          <w:rtl w:val="true"/>
        </w:rPr>
        <w:t>?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האפלטוני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בדיאלוג הנושא את שמו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מייחס עוצמה זו לרטוריקן – אשר את אומנותו הוא מגדיר כאומנות השכנוע בלוגוס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– אשר אינו נותר אדיש לעוצמה זו – חוקר את גורגיאס ובן לוויותו פולוס על טיבה של הרטוריקה כשהללו מגיעים לאתונה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בתחילתו של הדיאלוג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משנשאל למושאה של אומנותו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משיב תחילה גורגיאס בפשטות שהרטוריקה היא אומנות הנאומים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3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תשובה זו אינה מספקת את סוקראטס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גם הרופא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הוא אומר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נואם אודות הבריאות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המאמן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אודות הגוף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וכך רבים מבעלי האומנויות  אודות מלאכתם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כיצד נבדל מאלו הרטוריקן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מהו מושא הנאום שלו</w:t>
      </w:r>
      <w:r>
        <w:rPr>
          <w:rFonts w:cs="David Libre"/>
          <w:sz w:val="24"/>
          <w:szCs w:val="24"/>
          <w:u w:val="none"/>
          <w:rtl w:val="true"/>
        </w:rPr>
        <w:t xml:space="preserve">?.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גורגיאס משיב שמושאם של נאומי הרטוריקה הם 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החשובים שבענייני האדם</w:t>
      </w:r>
      <w:r>
        <w:rPr>
          <w:rFonts w:cs="David Libre"/>
          <w:sz w:val="24"/>
          <w:szCs w:val="24"/>
          <w:u w:val="none"/>
          <w:rtl w:val="true"/>
        </w:rPr>
        <w:t xml:space="preserve">...,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והטובים שבם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4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אינו מתרצה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הרופא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הוא משיב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יטען שהטוב בענייני האדם הוא הבריאות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המאמן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יטען שזהו הכושר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איש העסקים – יטען שזהו הממון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מהו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אפוא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הטוב בענייני האדם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גורגיאס משיב שזהו השכנוע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אשר הופך בני אדם לבני חורין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לרבי עוצמה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לשליטים בעריהם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5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נותר בלתי מסופק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ומקשה על גורגיאס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הרי בעלי המלאכה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משמלמדים אותה לאחרים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גם הם משכנעים בדברה – במה נבדל מאלו הרטוריקן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מה הוא מושא השכנוע שלו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כאן מגיע לבסוף גורגיאס להגדרתה המדויקת ביותר של הרטוריקה שבכוחו לתת – אומנות שכנוע ההמונים 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בעניין אותם הדברים שהם מן הצדק ומן העוול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6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שאפילו הגדרה זו אינה מספקת בעיניו של סוקראטס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בדיון בענייני העיר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מקשה הוא שוב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בעלי המלאכה הם אלו שיישכנעו באסיפות העם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הרופאים ובנאי הספינות בבריאות ובספנות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הבנאים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בדבר החומות והנמלים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המצביאים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בענייני הלוחמה והניצחון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הואיל ואינם משכנעים בדברים אלו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מניין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תוהה סוקראטס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כוחה של הרטוריקה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האם יסתפק הרטוריקן במתן עצתו בדבר הצודק והבלתי צודק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 שמא ייעץ גם בעניינים נוספים</w:t>
      </w:r>
      <w:r>
        <w:rPr>
          <w:rFonts w:cs="David Libre"/>
          <w:sz w:val="24"/>
          <w:szCs w:val="24"/>
          <w:u w:val="none"/>
          <w:rtl w:val="true"/>
        </w:rPr>
        <w:t>?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משיב כי בכל העניינים האלו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לא בעלי המלאכה אלא הרטוריקנים הם אלו שנותנים את עצתם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בעלי המלאכה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מכריז 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לעד יהיו נחותים ביכולתם לשכנע מן הרטוריקן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באסיפת העיר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בבתי הדין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בשווקים ובכל מקום אחר – הרטוריקן הוא זה שיאמר את המילה האחרונה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ובדברו יתקבלו החלטות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אף מכביר לטעון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כי הרטוריקה אינה טרודה כלל בטבען של האומנויות שבדברן היא משכנעת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האין זה מוטב לאדם אשר רוצה בכוח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שואל 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לרכוש לעצמו אומנות זו בלבד</w:t>
      </w:r>
      <w:r>
        <w:rPr>
          <w:rFonts w:cs="David Libre"/>
          <w:sz w:val="24"/>
          <w:szCs w:val="24"/>
          <w:u w:val="none"/>
          <w:rtl w:val="true"/>
        </w:rPr>
        <w:t>?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7"/>
      </w:r>
      <w:r>
        <w:rPr>
          <w:rFonts w:cs="David Libre"/>
          <w:sz w:val="24"/>
          <w:szCs w:val="24"/>
          <w:u w:val="none"/>
          <w:rtl w:val="true"/>
        </w:rPr>
        <w:t xml:space="preserve"> 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כך מבסס גורגיאס את עליונתה של הרטוריקה על האומנויות האחרות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 אינה טרודה אלא ביכולת השכנוע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ומשום כך די בה כדי להעניק לרטוריקן כוח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השפעה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ואף יכולת לשעבד בכוחה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ובכוחה בלבד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על חודה של טענה זו נטועה המחלוקת בין גורגיאס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ופולוס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לסוקראטס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בעוד שהראשון רואה בכך  עדות לעליונותה של הרטוריקה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השני שולל אותה על בסיס זה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sz w:val="24"/>
          <w:sz w:val="24"/>
          <w:szCs w:val="24"/>
          <w:u w:val="none"/>
          <w:rtl w:val="true"/>
        </w:rPr>
        <w:t>בשיחתו עם פולוס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 xml:space="preserve">טוען סוקראטס כי הרטוריקה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אינה אלא סוג של חנופה – משום שהיא “קולעת אל הנעים בלעדי הטוב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8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אותו הטוב הוא מושא יקר ערך בחקירה הסוקראטית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בדיאלוג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פיידון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מתאר בפנינו את חקירתו בתור מסע בעקבות ‘הסיבה’ של הדברים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9"/>
      </w:r>
      <w:r>
        <w:rPr>
          <w:rFonts w:cs="David Libre"/>
          <w:sz w:val="24"/>
          <w:szCs w:val="24"/>
          <w:u w:val="none"/>
          <w:rtl w:val="true"/>
        </w:rPr>
        <w:t xml:space="preserve">, 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בדמותו של הטוב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0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את הטבע הוא מחלק לגורמים רבים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דוגמת היפה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השווה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הצודק – שנדמים כולם כהשתקפות של אותו הטוב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כשם שמחלק כך את השאיפה לטוב בטבע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את השאיפה לטוב עבור גופו ונפשו של האדם מחלק סוקראטס לארבע אומנויות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הרפואה וההתעמלות העוסקות בטוב לגוף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והחקיקה והצדק העוסקות בטוב לנפש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מתיאור זה ניתן להסיק כי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בעיניי סוקראטס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הגדרתו של עיסוק כאומנות נגזרת משאיפתו של זה לטוב בתחומו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אותו הטוב שבכוחו להסביר את טבע עיסוקו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בחקירתו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מבקש סוקראטס להפוך את הסברה לידיעה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שכן זו הכרחית במסעו אחר הטוב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ידיעת הגוף הכרחית כדי לקבוע את טובתו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כשם שידיעת הנפש הכרחית כדי לקבוע את טובתה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לעומת חקירה זו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 אינה חפצה כלל בידיעה – “כל אלו המשכנעים עושים זאת בטיעון כוזב</w:t>
      </w:r>
      <w:r>
        <w:rPr>
          <w:rFonts w:cs="David Libre"/>
          <w:sz w:val="24"/>
          <w:szCs w:val="24"/>
          <w:u w:val="none"/>
          <w:rtl w:val="true"/>
        </w:rPr>
        <w:t xml:space="preserve">",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אומר לנו גורגיאס מפורשת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1"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– ואינה מנסה להתחקות אחר אותו הטוב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מסתפקת בנעים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בעוד שגורגיאס מבסס בתכונה זו את עליונותה של הרטוריקה על האומנויות כולן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על בסיסה של תכונה זו בדיוק שולל אותה סוקראטס כאומנות 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ומכתיר אותה כחנופה מבישה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בהיותה חנופה בלבד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 שואפת רק לסיפוק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סיפוק אשר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בתיאורו את מסעו אחר הידיעה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מתאר סוקראטס כמכשולה הגדול ביותר של הנשמה בחקר התבוני של האמת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2"/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היות ולרטוריקה אין חלק במסע זה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היא אינה עיסוק תבוני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עיסוק מביש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sz w:val="24"/>
          <w:sz w:val="24"/>
          <w:szCs w:val="24"/>
          <w:u w:val="none"/>
          <w:rtl w:val="true"/>
        </w:rPr>
        <w:t>למשמע הגדרתה של הרטוריקה כחנופה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פולוס עת על סוקראטס בזעם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sz w:val="24"/>
          <w:sz w:val="24"/>
          <w:szCs w:val="24"/>
          <w:u w:val="none"/>
          <w:rtl w:val="true"/>
        </w:rPr>
        <w:t>בכוח השכנוע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אומר פולוס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הרטוריקן יכול לגזול כל רכוש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לגרש ולהמית כל אדם בעריהם כטוב בעיניהם – האין בכך עדות לכוחה של הרטוריקה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ולכוחו המוחלט של הרטוריקן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sz w:val="24"/>
          <w:sz w:val="24"/>
          <w:szCs w:val="24"/>
          <w:u w:val="none"/>
          <w:rtl w:val="true"/>
        </w:rPr>
        <w:t>נהפוכו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אומר סוקראטס</w:t>
      </w:r>
      <w:r>
        <w:rPr>
          <w:rFonts w:cs="David Libre"/>
          <w:sz w:val="24"/>
          <w:szCs w:val="24"/>
          <w:u w:val="none"/>
          <w:rtl w:val="true"/>
        </w:rPr>
        <w:t xml:space="preserve">:  </w:t>
      </w:r>
      <w:r>
        <w:rPr>
          <w:sz w:val="24"/>
          <w:sz w:val="24"/>
          <w:szCs w:val="24"/>
          <w:u w:val="none"/>
          <w:rtl w:val="true"/>
        </w:rPr>
        <w:t>אילו נגדיר את האדם רב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sz w:val="24"/>
          <w:sz w:val="24"/>
          <w:szCs w:val="24"/>
          <w:u w:val="none"/>
          <w:rtl w:val="true"/>
        </w:rPr>
        <w:t>הכוח כזה העושה את הטוב העבורו – הגדרה שהשניים מסכימים עליה – הרי שכוחו של הרטוריקן הוא הנחות ביותר</w:t>
      </w:r>
      <w:r>
        <w:rPr>
          <w:rStyle w:val="FootnoteAnchor"/>
          <w:sz w:val="24"/>
          <w:sz w:val="24"/>
          <w:szCs w:val="24"/>
          <w:u w:val="none"/>
          <w:rtl w:val="true"/>
        </w:rPr>
        <w:footnoteReference w:id="13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sz w:val="24"/>
          <w:sz w:val="24"/>
          <w:szCs w:val="24"/>
          <w:u w:val="none"/>
          <w:rtl w:val="true"/>
        </w:rPr>
        <w:t>אמנם בכוחו של הרטוריקן לעשות הטוב בעיניו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אך אותו הטוב נופל מן הטוב כשלעצמו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אשר ממנו נגזר כוח אמיתי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sz w:val="24"/>
          <w:sz w:val="24"/>
          <w:szCs w:val="24"/>
          <w:u w:val="none"/>
          <w:rtl w:val="true"/>
        </w:rPr>
        <w:t>רצייתו של דבר מה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אומר סוקראטס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אינה טמונה במעשה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sz w:val="24"/>
          <w:sz w:val="24"/>
          <w:szCs w:val="24"/>
          <w:u w:val="none"/>
          <w:rtl w:val="true"/>
        </w:rPr>
        <w:t>אדם הלוקח תרופה מרה אינו רוצה בה כשלעצמה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sz w:val="24"/>
          <w:sz w:val="24"/>
          <w:szCs w:val="24"/>
          <w:u w:val="none"/>
          <w:rtl w:val="true"/>
        </w:rPr>
        <w:t>הוא רוצה בטוב עבורו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בדמותה של הבריאות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sz w:val="24"/>
          <w:sz w:val="24"/>
          <w:szCs w:val="24"/>
          <w:u w:val="none"/>
          <w:rtl w:val="true"/>
        </w:rPr>
        <w:t>אלו היוצאים למסעות ארוכים לצבירת ממון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אינם רוצים בסכנה ובטרחה שבמסעם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אלא בתכליתו הטובה עבורם – להתעשר</w:t>
      </w:r>
      <w:r>
        <w:rPr>
          <w:rStyle w:val="FootnoteAnchor"/>
          <w:sz w:val="24"/>
          <w:sz w:val="24"/>
          <w:szCs w:val="24"/>
          <w:u w:val="none"/>
          <w:rtl w:val="true"/>
        </w:rPr>
        <w:footnoteReference w:id="14"/>
      </w:r>
      <w:r>
        <w:rPr>
          <w:rFonts w:cs="David Libre"/>
          <w:sz w:val="24"/>
          <w:szCs w:val="24"/>
          <w:u w:val="none"/>
          <w:rtl w:val="true"/>
        </w:rPr>
        <w:t xml:space="preserve">.  </w:t>
      </w:r>
      <w:r>
        <w:rPr>
          <w:sz w:val="24"/>
          <w:sz w:val="24"/>
          <w:szCs w:val="24"/>
          <w:u w:val="none"/>
          <w:rtl w:val="true"/>
        </w:rPr>
        <w:t>ברצונותיהם לעשות דבר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sz w:val="24"/>
          <w:sz w:val="24"/>
          <w:szCs w:val="24"/>
          <w:u w:val="none"/>
          <w:rtl w:val="true"/>
        </w:rPr>
        <w:t>מה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בני האדם אינם אלא שואפים לטוב עבורם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והאדם אשר במעשיו מתקרב לאותו הטוב – הוא רב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sz w:val="24"/>
          <w:sz w:val="24"/>
          <w:szCs w:val="24"/>
          <w:u w:val="none"/>
          <w:rtl w:val="true"/>
        </w:rPr>
        <w:t>הכוח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sz w:val="24"/>
          <w:sz w:val="24"/>
          <w:szCs w:val="24"/>
          <w:u w:val="none"/>
          <w:rtl w:val="true"/>
        </w:rPr>
        <w:t>אמנם הרטוריקן עושה את הטוב בעיניו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אך ידה של הרטוריקה – בהיותה טרודה בנעים בלבד  – קצרה מלשגת את הטוב עבורו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ומכאן שבידיו אין כוח כלל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sz w:val="24"/>
          <w:sz w:val="24"/>
          <w:szCs w:val="24"/>
          <w:u w:val="none"/>
          <w:rtl w:val="true"/>
        </w:rPr>
        <w:t>אמנם עולה בידו לעשות כרצונו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ולספק רצונותיו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אך אין רצייה זו מספקת להגשמת הטוב עבורו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sz w:val="24"/>
          <w:sz w:val="24"/>
          <w:szCs w:val="24"/>
          <w:u w:val="none"/>
          <w:rtl w:val="true"/>
        </w:rPr>
        <w:t>בסופו של הדיון ביניהם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sz w:val="24"/>
          <w:sz w:val="24"/>
          <w:szCs w:val="24"/>
          <w:u w:val="none"/>
          <w:rtl w:val="true"/>
        </w:rPr>
        <w:t>גם פולוס פורש ממנו בבושה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sz w:val="24"/>
          <w:sz w:val="24"/>
          <w:szCs w:val="24"/>
          <w:u w:val="none"/>
          <w:rtl w:val="true"/>
        </w:rPr>
        <w:t xml:space="preserve">אותה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בושה משחקת גם היא תפקיד עיקרי בכתביו של אפלטון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בסופו של השיח ביניהם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מסולק מן הדיון בבושה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אם אין הרטוריקן טרוד בטבעם של הדברים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שואל סוקראטס – האין זה כולל את הצדק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מושאה המוצהר של הרטוריקה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היה ויגיע אליו תלמיד שאינו יודע מהו הצודק – האם יוכל ללמוד רטוריקה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האם יילמד אודותיו של הצדק מגורגיאס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הלה משיב שיידרש לצדק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ושילמדו ממנו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כאן עולה סתירה בדבריו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תחילה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טען שאין לרטוריקה עניין במושאי העיסוק שלה – אלא שכעת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ולאחר שמתריע בפני שימוש בלתי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צודק ברטוריקה הן ב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שבחי הלני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5"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והן ב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גורגיאס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6"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– הוא טוען שהרטוריקן נדרש לדעת צדק מהו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ומבקש את הצדק בעיסוקו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על מנת ליישב סתירה זו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נאלץ להודות שבכוחו של הרטוריקן לנאום שלא בדברו של הצדק – או להודות שהוא כאדם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ולא כרטוריקן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אינו יודע כלל אותו הצדק מהו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כאן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מוצף בושה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ופורש מן הדיון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הן מתיאור זה והן מהבוז שחש סוקראטס לרטוריקה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הבושה מצטיירת כהיעדרה של הידיעה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מבלי לבקשה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משחוטאת לידיעה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היא מבישה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משמתוודע להיעדרה של ידיעה זו אצלו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נותר מבויש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מעצם רדיפתו את ידיעה זו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נוטה לעורר בנאומיו בושה היכן שהרטוריקה מעוררת סיפוק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מאפיין זה של הלוגוס הסוקראטי מודגם בפנינו בשבחים שמרעיף עליו אהובו אלקיביאדס בדיאלוג ה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משתה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בדומה לעולה מ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שבחי הלני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גם אלקיביאדס עומד ער ליכולתו של הלוגוס  לעורר רגש עוצמתי</w:t>
      </w:r>
      <w:r>
        <w:rPr>
          <w:rFonts w:cs="David Libre"/>
          <w:sz w:val="24"/>
          <w:szCs w:val="24"/>
          <w:u w:val="none"/>
          <w:rtl w:val="true"/>
        </w:rPr>
        <w:t>: 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כי מדי שמעי אותו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דופק בי לבי ביתר עוז… ועיני זולגות דמעות מכוח שיחותיו של זה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וגם אחרים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מרובים מאוד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רואה אני שכך עולה להם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17"/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הוא אומר בתארו את נאומיו של סוקראטס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אך הרגש העוצמתי ביותר שעוררו בו הללו הוא הבושה</w:t>
      </w:r>
      <w:r>
        <w:rPr>
          <w:rFonts w:cs="David Libre"/>
          <w:sz w:val="24"/>
          <w:szCs w:val="24"/>
          <w:u w:val="none"/>
          <w:rtl w:val="true"/>
        </w:rPr>
        <w:t>: 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ודבר ששום אדם לא היה מפלל למצוא בי – והוא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בושה מפני מי שהוא – הוא שאירע לי עם אותו איש בלבד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שהנה הוא האדם היחיד שאני מתבייש בפניו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18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היכן שהנואם הרטוריקני שואף להתביית על הסברה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לתמרנה ברגש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ובכך לכפות את רצונו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הנאום הסוקראטי שואף להביא סברה זו לכדי ידיעה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אלקיביאדס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בחפשו את הטוב ביותר עבורו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נמשך לסוקראטס ומבקש את עזרתו – ומציא בתמורה סיפוק בדמותו של יופי הנעורים שלו עצמו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שאותו סיפוק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ואותה סברה של היפה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נופלת בערכה ממה שסוקראטס מחפש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כפי שמתאר בפנינו ב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פיידון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הפילוסוף  מוקיר את הידיעה על פני הסיפוק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אינו מחפש את היפה אלא את היפה כשלעצמו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כפי שאומר לאלקיביאדס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9"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בחינת שימושיהם של שני ההוגים בלוגוס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ומחלוקתם העולה משימוש זה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מלמדת אותנו רבות אודות עוצמתו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על העוצמה הטמונה ביכולתו לעורר רגש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אין בין השניים מחלוקת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על תועלתו של רגש זה בשכנוע ההמונים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אין כל עוררין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שעל תכלית השימוש בלוגוס נותרים השניים חלוקים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מטרתו של גורגיאס בשימוש בלוגוס היא עוצמה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בעלי הלוגוס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הרטוריקנים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נושאים הכוח לשעבד כל אדם ולשכנע כל המון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ובכך לצבור עוצמה בעריהם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 – אומנות השכנוע בלוגוס – הינה האמצעי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שמטרתו היא צבירת כוח רב ככל שרק אפשר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לעומתו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אצל סוקראטס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מתן הלוגוס אינו האמצעי – אלא המטרה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שואף לתת הסבר תבוני לטבעם של הדברים</w:t>
      </w:r>
      <w:r>
        <w:rPr>
          <w:rFonts w:cs="David Libre"/>
          <w:sz w:val="24"/>
          <w:szCs w:val="24"/>
          <w:u w:val="none"/>
          <w:rtl w:val="true"/>
        </w:rPr>
        <w:t>,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המושתת בידיעה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מתוך שאיפה לעמוד על מוצאם האחד – הטוב ביותר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האומנות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בעיניי סוקראטס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היא חקר הטבע של כל עיסוק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שאיפתו לאותה הידיעה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בחפשו את הטוב ביותר בתחומו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הנאום – מתן לוגוס – מטרתו לעמוד על הפער בין הסברה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שאינה אלא אומדן של האמת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לידיעה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השואפת לטוב כשלעצמו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העיסוק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והאדם אשר חוטאים לחקר תבוני זה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מבישים בעיניו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tl w:val="true"/>
        </w:rPr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tl w:val="true"/>
        </w:rPr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tl w:val="true"/>
        </w:rPr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tl w:val="true"/>
        </w:rPr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tl w:val="true"/>
        </w:rPr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tl w:val="true"/>
        </w:rPr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tl w:val="true"/>
        </w:rPr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tl w:val="true"/>
        </w:rPr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tl w:val="true"/>
        </w:rPr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810" w:hanging="0"/>
        <w:jc w:val="center"/>
        <w:rPr>
          <w:rFonts w:ascii="David" w:hAnsi="David" w:cs="David"/>
          <w:b/>
          <w:bCs/>
          <w:u w:val="single"/>
        </w:rPr>
      </w:pPr>
      <w:r>
        <w:rPr>
          <w:rFonts w:ascii="David" w:hAnsi="David" w:cs="David"/>
          <w:b/>
          <w:b/>
          <w:bCs/>
          <w:u w:val="single"/>
          <w:rtl w:val="true"/>
        </w:rPr>
        <w:t>ביבליוגרפיה</w:t>
      </w:r>
    </w:p>
    <w:p>
      <w:pPr>
        <w:pStyle w:val="Normal"/>
        <w:bidi w:val="1"/>
        <w:spacing w:lineRule="auto" w:line="360"/>
        <w:jc w:val="center"/>
        <w:rPr>
          <w:rFonts w:ascii="David" w:hAnsi="David" w:cs="David"/>
          <w:lang w:bidi="he-IL"/>
        </w:rPr>
      </w:pPr>
      <w:r>
        <w:rPr>
          <w:rFonts w:ascii="David" w:hAnsi="David" w:cs="David"/>
          <w:rtl w:val="true"/>
        </w:rPr>
        <w:t>ליבס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יוסף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i/>
          <w:i/>
          <w:iCs/>
          <w:rtl w:val="true"/>
        </w:rPr>
        <w:t>כתבי אפלטון</w:t>
      </w:r>
      <w:r>
        <w:rPr>
          <w:rFonts w:ascii="David" w:hAnsi="David" w:cs="David"/>
          <w:rtl w:val="true"/>
        </w:rPr>
        <w:t xml:space="preserve"> – </w:t>
      </w:r>
      <w:r>
        <w:rPr>
          <w:rFonts w:ascii="David" w:hAnsi="David" w:cs="David"/>
          <w:i/>
          <w:i/>
          <w:iCs/>
          <w:rtl w:val="true"/>
        </w:rPr>
        <w:t>כרך א</w:t>
      </w:r>
      <w:r>
        <w:rPr>
          <w:rFonts w:cs="David" w:ascii="David" w:hAnsi="David"/>
          <w:i/>
          <w:iCs/>
          <w:rtl w:val="true"/>
        </w:rPr>
        <w:t>'.</w:t>
      </w:r>
      <w:r>
        <w:rPr>
          <w:rFonts w:cs="David" w:ascii="David" w:hAnsi="David"/>
          <w:rtl w:val="true"/>
          <w:lang w:bidi="he-IL"/>
        </w:rPr>
        <w:t xml:space="preserve"> </w:t>
      </w:r>
      <w:r>
        <w:rPr>
          <w:rFonts w:ascii="David" w:hAnsi="David" w:cs="David"/>
          <w:rtl w:val="true"/>
        </w:rPr>
        <w:t>ירושלים</w:t>
      </w:r>
      <w:r>
        <w:rPr>
          <w:rFonts w:cs="David" w:ascii="David" w:hAnsi="David"/>
          <w:rtl w:val="true"/>
        </w:rPr>
        <w:t xml:space="preserve">: </w:t>
      </w:r>
      <w:r>
        <w:rPr>
          <w:rFonts w:ascii="David" w:hAnsi="David" w:cs="David"/>
          <w:rtl w:val="true"/>
        </w:rPr>
        <w:t>הוצאת שוקן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תשט</w:t>
      </w:r>
      <w:r>
        <w:rPr>
          <w:rFonts w:cs="David" w:ascii="David" w:hAnsi="David"/>
          <w:rtl w:val="true"/>
        </w:rPr>
        <w:t>"</w:t>
      </w:r>
      <w:r>
        <w:rPr>
          <w:rFonts w:ascii="David" w:hAnsi="David" w:cs="David"/>
          <w:rtl w:val="true"/>
        </w:rPr>
        <w:t xml:space="preserve">ו </w:t>
      </w:r>
      <w:r>
        <w:rPr>
          <w:rFonts w:cs="David" w:ascii="David" w:hAnsi="David"/>
        </w:rPr>
        <w:t>1954</w:t>
      </w:r>
    </w:p>
    <w:p>
      <w:pPr>
        <w:pStyle w:val="Normal"/>
        <w:bidi w:val="0"/>
        <w:spacing w:lineRule="auto" w:line="360"/>
        <w:ind w:left="810" w:hanging="0"/>
        <w:jc w:val="center"/>
        <w:rPr>
          <w:rFonts w:ascii="Times New Roman" w:hAnsi="Times New Roman" w:cs="David"/>
        </w:rPr>
      </w:pPr>
      <w:r>
        <w:rPr>
          <w:rFonts w:cs="David" w:ascii="Times New Roman" w:hAnsi="Times New Roman"/>
        </w:rPr>
        <w:t xml:space="preserve">Sachs, Joe.  </w:t>
      </w:r>
      <w:r>
        <w:rPr>
          <w:rFonts w:cs="David" w:ascii="Times New Roman" w:hAnsi="Times New Roman"/>
          <w:i/>
          <w:iCs/>
        </w:rPr>
        <w:t xml:space="preserve">Plato: Gorgias &amp; Aristotle: Rhetoric – first edition. </w:t>
      </w:r>
      <w:r>
        <w:rPr>
          <w:rFonts w:ascii="Times New Roman" w:hAnsi="Times New Roman"/>
        </w:rPr>
        <w:t>Newburyport: Focus Pub./R.Pulling Co. , 2009</w:t>
      </w:r>
    </w:p>
    <w:p>
      <w:pPr>
        <w:pStyle w:val="Footnote"/>
        <w:bidi w:val="0"/>
        <w:spacing w:lineRule="auto" w:line="360"/>
        <w:jc w:val="center"/>
        <w:rPr>
          <w:rFonts w:ascii="Times New Roman" w:hAnsi="Times New Roman"/>
          <w:sz w:val="24"/>
          <w:szCs w:val="24"/>
        </w:rPr>
      </w:pPr>
      <w:r>
        <w:rPr>
          <w:rFonts w:cs="David" w:ascii="Times New Roman" w:hAnsi="Times New Roman"/>
          <w:i w:val="false"/>
          <w:iCs w:val="false"/>
          <w:sz w:val="24"/>
          <w:szCs w:val="24"/>
        </w:rPr>
        <w:t>Brann, Eva, Peter Kalkavage, and Eric Salem.</w:t>
      </w:r>
      <w:r>
        <w:rPr>
          <w:rFonts w:cs="David" w:ascii="Times New Roman" w:hAnsi="Times New Roman"/>
          <w:i/>
          <w:iCs/>
          <w:sz w:val="24"/>
          <w:szCs w:val="24"/>
        </w:rPr>
        <w:t xml:space="preserve"> Plato: Phaedo</w:t>
      </w:r>
      <w:r>
        <w:rPr>
          <w:rFonts w:cs="David" w:ascii="Times New Roman" w:hAnsi="Times New Roman"/>
          <w:sz w:val="24"/>
          <w:szCs w:val="24"/>
        </w:rPr>
        <w:t xml:space="preserve"> Newburyport: Focus Pub./R.Pulling Co., 1998</w:t>
      </w:r>
    </w:p>
    <w:p>
      <w:pPr>
        <w:pStyle w:val="Footnote"/>
        <w:bidi w:val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Benardete, Seth and Allan Bloom. </w:t>
      </w:r>
      <w:r>
        <w:rPr>
          <w:rFonts w:ascii="Times New Roman" w:hAnsi="Times New Roman"/>
          <w:i/>
          <w:iCs/>
          <w:sz w:val="24"/>
          <w:szCs w:val="24"/>
        </w:rPr>
        <w:t>Plato’s Symposium – first edition.</w:t>
      </w:r>
      <w:r>
        <w:rPr>
          <w:rFonts w:ascii="Times New Roman" w:hAnsi="Times New Roman"/>
          <w:i w:val="false"/>
          <w:iCs w:val="false"/>
          <w:sz w:val="24"/>
          <w:szCs w:val="24"/>
        </w:rPr>
        <w:t xml:space="preserve"> Chicago: 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4"/>
          <w:szCs w:val="24"/>
        </w:rPr>
        <w:t>University of Chicago Press., 2001</w:t>
      </w:r>
    </w:p>
    <w:p>
      <w:pPr>
        <w:pStyle w:val="Footnote"/>
        <w:bidi w:val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4"/>
          <w:szCs w:val="24"/>
        </w:rPr>
        <w:t xml:space="preserve">Kent Sprague, Rosamond.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F1111"/>
          <w:spacing w:val="0"/>
          <w:sz w:val="24"/>
          <w:szCs w:val="24"/>
        </w:rPr>
        <w:t xml:space="preserve">The Older Sophists. 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4"/>
          <w:szCs w:val="24"/>
        </w:rPr>
        <w:t>Indianapolis: Hackett Publishing Company., 2001</w:t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881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David">
    <w:charset w:val="01"/>
    <w:family w:val="roman"/>
    <w:pitch w:val="variable"/>
  </w:font>
  <w:font w:name="David Libre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0"/>
        <w:jc w:val="left"/>
        <w:rPr>
          <w:rFonts w:ascii="Times New Roman" w:hAnsi="Times New Roman"/>
        </w:rPr>
      </w:pPr>
      <w:r>
        <w:rPr>
          <w:rStyle w:val="FootnoteCharacters"/>
        </w:rPr>
        <w:footnoteRef/>
      </w:r>
      <w:r>
        <w:rPr>
          <w:rFonts w:ascii="Times New Roman" w:hAnsi="Times New Roman"/>
        </w:rPr>
        <w:tab/>
        <w:t xml:space="preserve">Gorgias, “Encomium of Helen”, in Kent Sprague, Rosamond. </w:t>
      </w:r>
      <w:r>
        <w:rPr>
          <w:rFonts w:ascii="Times New Roman" w:hAnsi="Times New Roman"/>
          <w:i/>
          <w:iCs/>
        </w:rPr>
        <w:t xml:space="preserve">The Older Sophists </w:t>
      </w:r>
      <w:r>
        <w:rPr>
          <w:rFonts w:ascii="Times New Roman" w:hAnsi="Times New Roman"/>
          <w:i/>
          <w:iCs/>
          <w:sz w:val="20"/>
          <w:szCs w:val="20"/>
        </w:rPr>
        <w:t>(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0"/>
          <w:szCs w:val="20"/>
        </w:rPr>
        <w:t>Indianapolis: Hackett Publishing Company, 2001)</w:t>
      </w:r>
      <w:r>
        <w:rPr>
          <w:rFonts w:ascii="Times New Roman" w:hAnsi="Times New Roman"/>
          <w:i w:val="false"/>
          <w:iCs w:val="false"/>
        </w:rPr>
        <w:t>, p.52, para.11</w:t>
      </w:r>
    </w:p>
  </w:footnote>
  <w:footnote w:id="3">
    <w:p>
      <w:pPr>
        <w:pStyle w:val="Footnote"/>
        <w:bidi w:val="0"/>
        <w:jc w:val="left"/>
        <w:rPr>
          <w:rFonts w:ascii="Times New Roman" w:hAnsi="Times New Roman"/>
        </w:rPr>
      </w:pPr>
      <w:r>
        <w:rPr>
          <w:rStyle w:val="FootnoteCharacters"/>
        </w:rPr>
        <w:footnoteRef/>
      </w:r>
      <w:r>
        <w:rPr>
          <w:rFonts w:ascii="Times New Roman" w:hAnsi="Times New Roman"/>
        </w:rPr>
        <w:tab/>
        <w:t xml:space="preserve">Plato, “Gorgias”. </w:t>
      </w:r>
      <w:r>
        <w:rPr>
          <w:rFonts w:ascii="Times New Roman" w:hAnsi="Times New Roman"/>
          <w:i/>
          <w:iCs/>
        </w:rPr>
        <w:t>Plato’s Gorgias &amp; Aristotle: Rhetoric – first edition.</w:t>
      </w:r>
      <w:r>
        <w:rPr>
          <w:rFonts w:ascii="Times New Roman" w:hAnsi="Times New Roman"/>
        </w:rPr>
        <w:t xml:space="preserve"> Tr. Joe Sachs (Newburyport: Focus Pub./R.Pulling Co. , 2009), p.33, para. 449E</w:t>
      </w:r>
    </w:p>
  </w:footnote>
  <w:footnote w:id="4">
    <w:p>
      <w:pPr>
        <w:pStyle w:val="Footnote"/>
        <w:bidi w:val="0"/>
        <w:jc w:val="left"/>
        <w:rPr>
          <w:rFonts w:ascii="Times New Roman" w:hAnsi="Times New Roman"/>
        </w:rPr>
      </w:pPr>
      <w:r>
        <w:rPr>
          <w:rStyle w:val="FootnoteCharacters"/>
        </w:rPr>
        <w:footnoteRef/>
      </w:r>
      <w:r>
        <w:rPr>
          <w:rFonts w:ascii="Times New Roman" w:hAnsi="Times New Roman"/>
        </w:rPr>
        <w:tab/>
        <w:t>Ibid. p35, para. 451D,451E</w:t>
      </w:r>
    </w:p>
  </w:footnote>
  <w:footnote w:id="5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p36, para 452D</w:t>
      </w:r>
    </w:p>
  </w:footnote>
  <w:footnote w:id="6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p38, para 454B</w:t>
      </w:r>
    </w:p>
  </w:footnote>
  <w:footnote w:id="7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p.43, para. 429C</w:t>
      </w:r>
    </w:p>
  </w:footnote>
  <w:footnote w:id="8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אפלטון</w:t>
      </w:r>
      <w:r>
        <w:rPr>
          <w:rtl w:val="true"/>
        </w:rPr>
        <w:t>, "</w:t>
      </w:r>
      <w:r>
        <w:rPr>
          <w:rtl w:val="true"/>
        </w:rPr>
        <w:t>גורגיאס</w:t>
      </w:r>
      <w:r>
        <w:rPr>
          <w:rtl w:val="true"/>
        </w:rPr>
        <w:t xml:space="preserve">". </w:t>
      </w:r>
      <w:r>
        <w:rPr>
          <w:rtl w:val="true"/>
        </w:rPr>
        <w:t xml:space="preserve">בתוך </w:t>
      </w:r>
      <w:r>
        <w:rPr>
          <w:i/>
          <w:i/>
          <w:iCs/>
          <w:rtl w:val="true"/>
        </w:rPr>
        <w:t>כתבי  אפלטון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כרך א</w:t>
      </w:r>
      <w:r>
        <w:rPr>
          <w:i/>
          <w:iCs/>
          <w:rtl w:val="true"/>
        </w:rPr>
        <w:t>'</w:t>
      </w:r>
      <w:r>
        <w:rPr>
          <w:rFonts w:cs="David" w:ascii="David" w:hAnsi="David"/>
          <w:i w:val="false"/>
          <w:iCs w:val="false"/>
          <w:rtl w:val="true"/>
        </w:rPr>
        <w:t>.</w:t>
      </w:r>
      <w:r>
        <w:rPr>
          <w:rtl w:val="true"/>
        </w:rPr>
        <w:t xml:space="preserve"> </w:t>
      </w:r>
      <w:r>
        <w:rPr>
          <w:rtl w:val="true"/>
        </w:rPr>
        <w:t xml:space="preserve">תרגם יוסף ליבס </w:t>
      </w:r>
      <w:r>
        <w:rPr>
          <w:i w:val="false"/>
          <w:iCs w:val="false"/>
          <w:rtl w:val="true"/>
        </w:rPr>
        <w:t>(</w:t>
      </w:r>
      <w:r>
        <w:rPr>
          <w:rFonts w:ascii="David" w:hAnsi="David" w:cs="David"/>
          <w:i w:val="false"/>
          <w:i w:val="false"/>
          <w:iCs w:val="false"/>
          <w:rtl w:val="true"/>
        </w:rPr>
        <w:t>ירושלים</w:t>
      </w:r>
      <w:r>
        <w:rPr>
          <w:rFonts w:cs="David" w:ascii="David" w:hAnsi="David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i w:val="false"/>
          <w:i w:val="false"/>
          <w:iCs w:val="false"/>
          <w:rtl w:val="true"/>
        </w:rPr>
        <w:t>הוצאת שוקן</w:t>
      </w:r>
      <w:r>
        <w:rPr>
          <w:rFonts w:cs="David" w:ascii="David" w:hAnsi="David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i w:val="false"/>
          <w:i w:val="false"/>
          <w:iCs w:val="false"/>
          <w:rtl w:val="true"/>
        </w:rPr>
        <w:t>תשט</w:t>
      </w:r>
      <w:r>
        <w:rPr>
          <w:rFonts w:cs="David" w:ascii="David" w:hAnsi="David"/>
          <w:i w:val="false"/>
          <w:iCs w:val="false"/>
          <w:rtl w:val="true"/>
        </w:rPr>
        <w:t>"</w:t>
      </w:r>
      <w:r>
        <w:rPr>
          <w:rFonts w:ascii="David" w:hAnsi="David" w:cs="David"/>
          <w:i w:val="false"/>
          <w:i w:val="false"/>
          <w:iCs w:val="false"/>
          <w:rtl w:val="true"/>
        </w:rPr>
        <w:t xml:space="preserve">ו </w:t>
      </w:r>
      <w:r>
        <w:rPr>
          <w:rFonts w:cs="David" w:ascii="David" w:hAnsi="David"/>
          <w:i w:val="false"/>
          <w:iCs w:val="false"/>
        </w:rPr>
        <w:t>1954</w:t>
      </w:r>
      <w:r>
        <w:rPr>
          <w:rFonts w:cs="David" w:ascii="David" w:hAnsi="David"/>
          <w:i w:val="false"/>
          <w:iCs w:val="false"/>
          <w:rtl w:val="true"/>
        </w:rPr>
        <w:t>)</w:t>
      </w:r>
      <w:r>
        <w:rPr>
          <w:rtl w:val="true"/>
        </w:rPr>
        <w:t xml:space="preserve">, </w:t>
      </w:r>
      <w:r>
        <w:rPr>
          <w:rtl w:val="true"/>
        </w:rPr>
        <w:t>עמ</w:t>
      </w:r>
      <w:r>
        <w:rPr>
          <w:rtl w:val="true"/>
        </w:rPr>
        <w:t xml:space="preserve">' </w:t>
      </w:r>
      <w:r>
        <w:rPr/>
        <w:t>302</w:t>
      </w:r>
      <w:r>
        <w:rPr>
          <w:rtl w:val="true"/>
        </w:rPr>
        <w:t xml:space="preserve">, </w:t>
      </w:r>
      <w:r>
        <w:rPr>
          <w:rtl w:val="true"/>
        </w:rPr>
        <w:t>פס</w:t>
      </w:r>
      <w:r>
        <w:rPr>
          <w:rtl w:val="true"/>
        </w:rPr>
        <w:t xml:space="preserve">' </w:t>
      </w:r>
      <w:r>
        <w:rPr/>
        <w:t>464E</w:t>
      </w:r>
    </w:p>
  </w:footnote>
  <w:footnote w:id="9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Plato, “Phaedo”.</w:t>
      </w:r>
      <w:r>
        <w:rPr>
          <w:i/>
          <w:iCs/>
        </w:rPr>
        <w:t xml:space="preserve"> </w:t>
      </w:r>
      <w:r>
        <w:rPr>
          <w:i w:val="false"/>
          <w:iCs w:val="false"/>
        </w:rPr>
        <w:t>in</w:t>
      </w:r>
      <w:r>
        <w:rPr>
          <w:i/>
          <w:iCs/>
        </w:rPr>
        <w:t xml:space="preserve"> Plato: Phaedo</w:t>
      </w:r>
      <w:r>
        <w:rPr>
          <w:i w:val="false"/>
          <w:iCs w:val="false"/>
        </w:rPr>
        <w:t>.</w:t>
      </w:r>
      <w:r>
        <w:rPr>
          <w:i/>
          <w:iCs/>
        </w:rPr>
        <w:t xml:space="preserve"> </w:t>
      </w:r>
      <w:r>
        <w:rPr/>
        <w:t>Brann, Eva, Peter Kalkavage, and Eric Salem</w:t>
      </w:r>
      <w:r>
        <w:rPr>
          <w:rFonts w:ascii="Times New Roman" w:hAnsi="Times New Roman"/>
          <w:i w:val="false"/>
          <w:iCs w:val="false"/>
          <w:sz w:val="20"/>
          <w:szCs w:val="20"/>
        </w:rPr>
        <w:t xml:space="preserve"> (</w:t>
      </w:r>
      <w:r>
        <w:rPr>
          <w:rFonts w:cs="David" w:ascii="Times New Roman" w:hAnsi="Times New Roman"/>
          <w:i w:val="false"/>
          <w:iCs w:val="false"/>
          <w:sz w:val="20"/>
          <w:szCs w:val="20"/>
        </w:rPr>
        <w:t>Newburyport: Focus Pub./R.Pulling Co., 1998).</w:t>
      </w:r>
      <w:r>
        <w:rPr/>
        <w:t xml:space="preserve"> p.75, para. 96</w:t>
      </w:r>
    </w:p>
  </w:footnote>
  <w:footnote w:id="10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p.76, para. 97C-D</w:t>
      </w:r>
    </w:p>
  </w:footnote>
  <w:footnote w:id="11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>
          <w:rFonts w:ascii="Times New Roman" w:hAnsi="Times New Roman"/>
          <w:i w:val="false"/>
          <w:iCs w:val="false"/>
          <w:sz w:val="20"/>
          <w:szCs w:val="20"/>
        </w:rPr>
        <w:tab/>
        <w:t xml:space="preserve">Kent Sprage (2001), </w:t>
      </w:r>
      <w:r>
        <w:rPr>
          <w:i w:val="false"/>
          <w:iCs w:val="false"/>
        </w:rPr>
        <w:t>p.52, para.11</w:t>
      </w:r>
    </w:p>
  </w:footnote>
  <w:footnote w:id="12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Brann (1998),  p.36, para. 65</w:t>
      </w:r>
    </w:p>
  </w:footnote>
  <w:footnote w:id="13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Sachs (2009), p.</w:t>
      </w:r>
      <w:r>
        <w:rPr/>
        <w:t>51</w:t>
      </w:r>
      <w:r>
        <w:rPr/>
        <w:t>, para. 4</w:t>
      </w:r>
      <w:r>
        <w:rPr/>
        <w:t>66E</w:t>
      </w:r>
    </w:p>
  </w:footnote>
  <w:footnote w:id="14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Sachs (2009), p</w:t>
      </w:r>
      <w:r>
        <w:rPr/>
        <w:t>p</w:t>
      </w:r>
      <w:r>
        <w:rPr/>
        <w:t>.</w:t>
      </w:r>
      <w:r>
        <w:rPr/>
        <w:t>51-2</w:t>
      </w:r>
      <w:r>
        <w:rPr/>
        <w:t>, para. 4</w:t>
      </w:r>
      <w:r>
        <w:rPr/>
        <w:t>67C-</w:t>
      </w:r>
      <w:r>
        <w:rPr/>
        <w:t>D</w:t>
      </w:r>
    </w:p>
  </w:footnote>
  <w:footnote w:id="15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Kent Sprague (2001)</w:t>
      </w:r>
      <w:r>
        <w:rPr>
          <w:i w:val="false"/>
          <w:iCs w:val="false"/>
        </w:rPr>
        <w:t>, p.52, para.12</w:t>
      </w:r>
    </w:p>
  </w:footnote>
  <w:footnote w:id="16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Sachs (2009), p.41, para. 456D</w:t>
      </w:r>
    </w:p>
  </w:footnote>
  <w:footnote w:id="17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אפלטון</w:t>
      </w:r>
      <w:r>
        <w:rPr>
          <w:rtl w:val="true"/>
        </w:rPr>
        <w:t>, "</w:t>
      </w:r>
      <w:r>
        <w:rPr>
          <w:rtl w:val="true"/>
        </w:rPr>
        <w:t>משתה</w:t>
      </w:r>
      <w:r>
        <w:rPr>
          <w:rtl w:val="true"/>
        </w:rPr>
        <w:t xml:space="preserve">". </w:t>
      </w:r>
      <w:r>
        <w:rPr>
          <w:rtl w:val="true"/>
        </w:rPr>
        <w:t xml:space="preserve">בתוך </w:t>
      </w:r>
      <w:r>
        <w:rPr>
          <w:i/>
          <w:i/>
          <w:iCs/>
          <w:rtl w:val="true"/>
        </w:rPr>
        <w:t>כתבי  אפלטון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כרך א</w:t>
      </w:r>
      <w:r>
        <w:rPr>
          <w:i/>
          <w:iCs/>
          <w:rtl w:val="true"/>
        </w:rPr>
        <w:t>'.</w:t>
      </w:r>
      <w:r>
        <w:rPr>
          <w:rtl w:val="true"/>
        </w:rPr>
        <w:t xml:space="preserve"> </w:t>
      </w:r>
      <w:r>
        <w:rPr>
          <w:rtl w:val="true"/>
        </w:rPr>
        <w:t>תרגם י וסף ליבס</w:t>
      </w:r>
      <w:r>
        <w:rPr>
          <w:rtl w:val="true"/>
        </w:rPr>
        <w:t xml:space="preserve">, </w:t>
      </w:r>
      <w:r>
        <w:rPr>
          <w:rtl w:val="true"/>
        </w:rPr>
        <w:t>עמ</w:t>
      </w:r>
      <w:r>
        <w:rPr>
          <w:rtl w:val="true"/>
        </w:rPr>
        <w:t xml:space="preserve">' </w:t>
      </w:r>
      <w:r>
        <w:rPr/>
        <w:t>146</w:t>
      </w:r>
      <w:r>
        <w:rPr>
          <w:rtl w:val="true"/>
        </w:rPr>
        <w:t xml:space="preserve">, </w:t>
      </w:r>
      <w:r>
        <w:rPr>
          <w:rtl w:val="true"/>
        </w:rPr>
        <w:t>פס</w:t>
      </w:r>
      <w:r>
        <w:rPr>
          <w:rtl w:val="true"/>
        </w:rPr>
        <w:t xml:space="preserve">' </w:t>
      </w:r>
      <w:r>
        <w:rPr/>
        <w:t>215E</w:t>
      </w:r>
    </w:p>
  </w:footnote>
  <w:footnote w:id="18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146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216B</w:t>
      </w:r>
    </w:p>
  </w:footnote>
  <w:footnote w:id="19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Plato, “Symposium”. Benardete, Seth and Allan Bloom. </w:t>
      </w:r>
      <w:r>
        <w:rPr>
          <w:i/>
          <w:iCs/>
        </w:rPr>
        <w:t xml:space="preserve">Plato’s Symposium. </w:t>
      </w:r>
      <w:r>
        <w:rPr>
          <w:i w:val="false"/>
          <w:iCs w:val="false"/>
        </w:rPr>
        <w:t>p.49, para. 218E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left"/>
      <w:rPr>
        <w:rFonts w:ascii="David Libre" w:hAnsi="David Libre"/>
        <w:b/>
        <w:bCs/>
      </w:rPr>
    </w:pPr>
    <w:r>
      <w:rPr>
        <w:rFonts w:ascii="David Libre" w:hAnsi="David Libre"/>
        <w:b/>
        <w:bCs/>
      </w:rPr>
      <w:t>207130253</w:t>
    </w:r>
  </w:p>
  <w:p>
    <w:pPr>
      <w:pStyle w:val="Header"/>
      <w:bidi w:val="1"/>
      <w:jc w:val="center"/>
      <w:rPr>
        <w:rFonts w:cs="David Libre"/>
        <w:b/>
        <w:bCs/>
      </w:rPr>
    </w:pPr>
    <w:r>
      <w:rPr>
        <w:rFonts w:cs="David Libre"/>
        <w:b/>
        <w:b/>
        <w:bCs/>
        <w:rtl w:val="true"/>
      </w:rPr>
      <w:t>רטוריקה ולוגוס אצל גורגיאס וסוקראטס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8">
    <w:name w:val="אקדמי"/>
    <w:basedOn w:val="Normal"/>
    <w:autoRedefine/>
    <w:qFormat/>
    <w:pPr>
      <w:bidi w:val="0"/>
      <w:spacing w:lineRule="auto" w:line="48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1132</TotalTime>
  <Application>LibreOffice/7.5.0.3$Linux_X86_64 LibreOffice_project/50$Build-3</Application>
  <AppVersion>15.0000</AppVersion>
  <Pages>5</Pages>
  <Words>1854</Words>
  <Characters>9160</Characters>
  <CharactersWithSpaces>11046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2023-03-03T17:16:15Z</dcterms:created>
  <dc:creator/>
  <dc:description/>
  <dc:language>en-US</dc:language>
  <cp:lastModifiedBy/>
  <dcterms:modified xsi:type="dcterms:W3CDTF">2023-03-06T11:56:28Z</dcterms:modified>
  <cp:revision>394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