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t>1. a. Effects of prenatal exposure to social disadvantage and pshycological stress on white matter connectivity in newborn’s brain. This research is unique since it is the first to take the dynamic between pshycological stress and social disadvantage into account consdering neonatal white matter connectivity.</w:t>
      </w:r>
    </w:p>
    <w:p>
      <w:pPr>
        <w:pStyle w:val="Normal"/>
        <w:bidi w:val="0"/>
        <w:jc w:val="left"/>
        <w:rPr/>
      </w:pPr>
      <w:r>
        <w:rPr/>
      </w:r>
    </w:p>
    <w:p>
      <w:pPr>
        <w:pStyle w:val="Normal"/>
        <w:bidi w:val="0"/>
        <w:jc w:val="left"/>
        <w:rPr/>
      </w:pPr>
      <w:r>
        <w:rPr/>
        <w:t>b. The researchers hypothesised both social disadvantage and pshycological stress will effect the microstructure of multiple reigons in the brain, including the Cingulum Bundle (CB), the Uncinate Fasciculus and the Fornix, predicting lower partial anistropy (FA) and/or higher mean diffusivity (MD), suggesting impaired mylenization and axonal development in the neonatal brain. In contrast, the researchers hypothesized these factors will not affect the Corpus Collusum and the CST. Psychological stress was predicted to explain greater variance in white matter structure compared to social disadvantage.</w:t>
      </w:r>
    </w:p>
    <w:p>
      <w:pPr>
        <w:pStyle w:val="Normal"/>
        <w:bidi w:val="0"/>
        <w:jc w:val="left"/>
        <w:rPr/>
      </w:pPr>
      <w:r>
        <w:rPr/>
      </w:r>
    </w:p>
    <w:p>
      <w:pPr>
        <w:pStyle w:val="Normal"/>
        <w:bidi w:val="0"/>
        <w:jc w:val="left"/>
        <w:rPr/>
      </w:pPr>
      <w:r>
        <w:rPr/>
        <w:t>c. The researchers chose to focus on the CB, Uncinate Fasciculus and the fornix since, considering their function of connecting the amygdala and the hyppocampus to the frontal cortex, they are vulnerable to the negative impact of early-life adversity, and are linked to the development of psychosocial impairments, thus acting as a biomarker for mental illness. The CC and CST were chosen as control regions – the CC due to its functional similarity and proximity to the CB, but lack of connectivity to the limbic system and frontal areas forebrain regions. The CST was chosen as it is functionally similar to the CC and CB, linking the forebrain, yet unconnected to the limbic system.</w:t>
      </w:r>
    </w:p>
    <w:p>
      <w:pPr>
        <w:pStyle w:val="Normal"/>
        <w:bidi w:val="0"/>
        <w:jc w:val="left"/>
        <w:rPr/>
      </w:pPr>
      <w:r>
        <w:rPr/>
      </w:r>
    </w:p>
    <w:p>
      <w:pPr>
        <w:pStyle w:val="Normal"/>
        <w:bidi w:val="0"/>
        <w:jc w:val="left"/>
        <w:rPr/>
      </w:pPr>
      <w:r>
        <w:rPr/>
        <w:t xml:space="preserve">2.a. Participants are 395 pregnant women, indentified in their first trimester, oversampled from a low-income area prenatal clinic, and their 399 newborns. Participants performed an exhaustive social background check during pregnancy, and the collected data was analyzed and used to create two factors , fitted to dMRI parameters </w:t>
      </w:r>
      <w:r>
        <w:rPr/>
        <w:t>using regression models adjusted for infant post-menstrual age at scan and sex</w:t>
      </w:r>
      <w:r>
        <w:rPr/>
        <w:t xml:space="preserve">. </w:t>
      </w:r>
      <w:r>
        <w:rPr/>
        <w:t>Of all newborns, 289 term-born, healthy neonates underwent a dMRI scan, with FA and MD examined using probabilistic tracotography in FSL.</w:t>
      </w:r>
      <w:r>
        <w:rPr/>
        <w:t xml:space="preserve"> </w:t>
      </w:r>
    </w:p>
    <w:p>
      <w:pPr>
        <w:pStyle w:val="Normal"/>
        <w:bidi w:val="0"/>
        <w:jc w:val="left"/>
        <w:rPr/>
      </w:pPr>
      <w:r>
        <w:rPr/>
        <w:t>b. 2 Anterior-posterior scans, 5 minutes in duration, were performed in order to scan the whole brain. Primary factors examined were social disadvantage and pshycological stress, with lower social status leading to lower MD in the inferior CB, left uncinate and right fornix, alongside low MD and high FA in the right dorsal CB.</w:t>
      </w:r>
    </w:p>
    <w:p>
      <w:pPr>
        <w:pStyle w:val="Normal"/>
        <w:bidi w:val="0"/>
        <w:jc w:val="left"/>
        <w:rPr/>
      </w:pPr>
      <w:r>
        <w:rPr/>
      </w:r>
    </w:p>
    <w:p>
      <w:pPr>
        <w:pStyle w:val="Normal"/>
        <w:bidi w:val="0"/>
        <w:jc w:val="left"/>
        <w:rPr/>
      </w:pPr>
      <w:r>
        <w:rPr/>
        <w:t xml:space="preserve">3.a. The researchers chose to examine the left inferior CB as it was the only tract that showed correlation with psychosocial stress before accounting for social disadvantage. Participants with medium-low incomes showed stronger association between psychological stress and MD in the inferior CB </w:t>
      </w:r>
      <w:r>
        <w:rPr/>
        <w:t>than</w:t>
      </w:r>
      <w:r>
        <w:rPr/>
        <w:t xml:space="preserve"> extremely low income participants, </w:t>
      </w:r>
      <w:r>
        <w:rPr/>
        <w:t>who</w:t>
      </w:r>
      <w:r>
        <w:rPr/>
        <w:t xml:space="preserve"> show</w:t>
      </w:r>
      <w:r>
        <w:rPr/>
        <w:t>ed</w:t>
      </w:r>
      <w:r>
        <w:rPr/>
        <w:t xml:space="preserve"> a weak correlation.</w:t>
      </w:r>
    </w:p>
    <w:p>
      <w:pPr>
        <w:pStyle w:val="Normal"/>
        <w:bidi w:val="0"/>
        <w:jc w:val="left"/>
        <w:rPr/>
      </w:pPr>
      <w:r>
        <w:rPr/>
        <w:t xml:space="preserve">b. </w:t>
      </w:r>
      <w:r>
        <w:rPr/>
        <w:t xml:space="preserve">When the two factors were examined seperately, </w:t>
      </w:r>
      <w:r>
        <w:rPr>
          <w:b/>
          <w:bCs/>
        </w:rPr>
        <w:t>social disadvantage</w:t>
      </w:r>
      <w:r>
        <w:rPr/>
        <w:t xml:space="preserve"> was related to l</w:t>
      </w:r>
      <w:r>
        <w:rPr>
          <w:rFonts w:cs="Times New Roman"/>
        </w:rPr>
        <w:t>ower MD in the bilateral dorsal and inferior CB, bilateral uncinate, and right fornix. Social disadvantage was also associaated with lower RD in the bilateral dorsal and inferior CB, left uncinate, and right fornix as well as lower AD in bilateral inferior CB and left uncinate.</w:t>
      </w:r>
    </w:p>
    <w:p>
      <w:pPr>
        <w:pStyle w:val="Normal"/>
        <w:bidi w:val="0"/>
        <w:jc w:val="left"/>
        <w:rPr>
          <w:b/>
          <w:b/>
          <w:bCs/>
        </w:rPr>
      </w:pPr>
      <w:r>
        <w:rPr>
          <w:rFonts w:cs="Times New Roman"/>
          <w:b/>
          <w:bCs/>
        </w:rPr>
        <w:t>P</w:t>
      </w:r>
      <w:r>
        <w:rPr>
          <w:rFonts w:cs="Times New Roman"/>
          <w:b/>
          <w:bCs/>
        </w:rPr>
        <w:t>sychosocial stress</w:t>
      </w:r>
      <w:r>
        <w:rPr>
          <w:rFonts w:cs="Times New Roman"/>
          <w:b w:val="false"/>
          <w:bCs w:val="false"/>
        </w:rPr>
        <w:t xml:space="preserve"> was associatedwith lower MD and RD in the left inferior CB, with no associations for the uncinate or fornix.</w:t>
      </w:r>
    </w:p>
    <w:p>
      <w:pPr>
        <w:pStyle w:val="Normal"/>
        <w:bidi w:val="0"/>
        <w:jc w:val="left"/>
        <w:rPr>
          <w:rFonts w:cs="Times New Roman"/>
          <w:b w:val="false"/>
          <w:b w:val="false"/>
          <w:bCs w:val="false"/>
        </w:rPr>
      </w:pPr>
      <w:r>
        <w:rPr>
          <w:b/>
          <w:bCs/>
        </w:rPr>
      </w:r>
    </w:p>
    <w:p>
      <w:pPr>
        <w:pStyle w:val="Normal"/>
        <w:bidi w:val="0"/>
        <w:jc w:val="left"/>
        <w:rPr>
          <w:b/>
          <w:b/>
          <w:bCs/>
        </w:rPr>
      </w:pPr>
      <w:r>
        <w:rPr>
          <w:rFonts w:cs="Times New Roman"/>
          <w:b w:val="false"/>
          <w:bCs w:val="false"/>
        </w:rPr>
        <w:t xml:space="preserve">4.a. </w:t>
      </w:r>
      <w:r>
        <w:rPr>
          <w:rFonts w:cs="Times New Roman"/>
          <w:b w:val="false"/>
          <w:bCs w:val="false"/>
        </w:rPr>
        <w:t>The researchers believe that lower-to-higher income may aid in the observation of psychological stress compared to extremely low income settings. Mothers with low-to-high income are more likely to be demographically similar to other samples showing associations between psychosocial stress and</w:t>
      </w:r>
    </w:p>
    <w:p>
      <w:pPr>
        <w:pStyle w:val="Normal"/>
        <w:bidi w:val="0"/>
        <w:jc w:val="left"/>
        <w:rPr>
          <w:rFonts w:cs="Times New Roman"/>
          <w:b w:val="false"/>
          <w:b w:val="false"/>
          <w:bCs w:val="false"/>
        </w:rPr>
      </w:pPr>
      <w:r>
        <w:rPr>
          <w:rFonts w:cs="Times New Roman"/>
          <w:b w:val="false"/>
          <w:bCs w:val="false"/>
        </w:rPr>
        <w:t>neonatal white-matter development. Outside extremely low income settings, psychological stress is also more likely to arise from reasons outside severe social disadvantage, thus affecting results in these sample groups.</w:t>
      </w:r>
    </w:p>
    <w:p>
      <w:pPr>
        <w:pStyle w:val="Normal"/>
        <w:bidi w:val="0"/>
        <w:jc w:val="left"/>
        <w:rPr>
          <w:b/>
          <w:b/>
          <w:bCs/>
        </w:rPr>
      </w:pPr>
      <w:r>
        <w:rPr>
          <w:rFonts w:cs="Times New Roman"/>
          <w:b w:val="false"/>
          <w:bCs w:val="false"/>
        </w:rPr>
        <w:t xml:space="preserve">b. </w:t>
      </w:r>
      <w:r>
        <w:rPr>
          <w:rFonts w:cs="Times New Roman"/>
          <w:b w:val="false"/>
          <w:bCs w:val="false"/>
        </w:rPr>
        <w:t>The inferior CB connects the amygdala with the hippocampus, both of which are rich with glucocorticoid receptors. These receptors are highly sensitive to stress, affectiong cortisol production, which in turn affects neural plasticity.</w:t>
      </w:r>
    </w:p>
    <w:p>
      <w:pPr>
        <w:pStyle w:val="Normal"/>
        <w:bidi w:val="0"/>
        <w:jc w:val="left"/>
        <w:rPr>
          <w:b/>
          <w:b/>
          <w:bCs/>
        </w:rPr>
      </w:pPr>
      <w:r>
        <w:rPr>
          <w:rFonts w:cs="Times New Roman"/>
          <w:b w:val="false"/>
          <w:bCs w:val="false"/>
        </w:rPr>
        <w:t xml:space="preserve">c. </w:t>
      </w:r>
      <w:r>
        <w:rPr>
          <w:rFonts w:cs="Times New Roman"/>
          <w:b w:val="false"/>
          <w:bCs w:val="false"/>
        </w:rPr>
        <w:t xml:space="preserve">Amongst the study’s strenghts were the large sample size compared to existing studies, as well as beginning the assesments in-utero, and the oversampling of mothers with low income. The study’s primary limitation is the use of self-reporting questionnaires to asses maternal depression, as the mother may tend to underreport their symptoms – the gathered data suggests around 10% of the mothers are affected by clinically-significant depression, in line with general population estimates – yet out of line with rates as high as 47% in mothers of pre-term born infants. </w:t>
      </w:r>
      <w:r>
        <w:rPr>
          <w:rFonts w:cs="Times New Roman"/>
          <w:b w:val="false"/>
          <w:bCs w:val="false"/>
        </w:rPr>
        <w:t>As the infants sampled were solely those born on-term, the results may not reflect on mothers of preterm born infants. As a possible solution, we would suggest a second analysis of the data, barring the assements from the final trimester and at-birth (where pre-term mothers are aware of the impending early birth, possibly excerbating their depression rates) in an attempt to collect data that can be generalized to these mothers as well.</w:t>
      </w:r>
    </w:p>
    <w:sectPr>
      <w:type w:val="nextPage"/>
      <w:pgSz w:w="12240" w:h="15840"/>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w:cs="David CLM"/>
        <w:kern w:val="2"/>
        <w:sz w:val="24"/>
        <w:szCs w:val="24"/>
        <w:lang w:val="en-US" w:eastAsia="zh-CN" w:bidi="he-IL"/>
      </w:rPr>
    </w:rPrDefault>
    <w:pPrDefault>
      <w:pPr>
        <w:widowControl/>
        <w:suppressAutoHyphens w:val="true"/>
      </w:pPr>
    </w:pPrDefault>
  </w:docDefaults>
  <w:style w:type="paragraph" w:styleId="Normal">
    <w:name w:val="Normal"/>
    <w:qFormat/>
    <w:pPr>
      <w:widowControl/>
      <w:bidi w:val="0"/>
    </w:pPr>
    <w:rPr>
      <w:rFonts w:ascii="Liberation Serif" w:hAnsi="Liberation Serif" w:eastAsia="Noto Sans" w:cs="David CLM"/>
      <w:color w:val="auto"/>
      <w:kern w:val="2"/>
      <w:sz w:val="24"/>
      <w:szCs w:val="24"/>
      <w:lang w:val="en-US" w:eastAsia="zh-CN" w:bidi="he-IL"/>
    </w:rPr>
  </w:style>
  <w:style w:type="paragraph" w:styleId="Heading">
    <w:name w:val="Heading"/>
    <w:basedOn w:val="Normal"/>
    <w:next w:val="TextBody"/>
    <w:qFormat/>
    <w:pPr>
      <w:keepNext w:val="true"/>
      <w:spacing w:before="240" w:after="120"/>
    </w:pPr>
    <w:rPr>
      <w:rFonts w:ascii="Liberation Sans" w:hAnsi="Liberation Sans" w:eastAsia="Noto Sans" w:cs="Nachlieli CLM"/>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David CLM"/>
    </w:rPr>
  </w:style>
  <w:style w:type="paragraph" w:styleId="Caption">
    <w:name w:val="Caption"/>
    <w:basedOn w:val="Normal"/>
    <w:qFormat/>
    <w:pPr>
      <w:suppressLineNumbers/>
      <w:spacing w:before="120" w:after="120"/>
    </w:pPr>
    <w:rPr>
      <w:rFonts w:cs="David CLM"/>
      <w:i/>
      <w:iCs/>
      <w:sz w:val="24"/>
      <w:szCs w:val="24"/>
    </w:rPr>
  </w:style>
  <w:style w:type="paragraph" w:styleId="Index">
    <w:name w:val="Index"/>
    <w:basedOn w:val="Normal"/>
    <w:qFormat/>
    <w:pPr>
      <w:suppressLineNumbers/>
    </w:pPr>
    <w:rPr>
      <w:rFonts w:cs="David CLM"/>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70</TotalTime>
  <Application>LibreOffice/7.4.4.2$Linux_X86_64 LibreOffice_project/40$Build-2</Application>
  <AppVersion>15.0000</AppVersion>
  <Pages>2</Pages>
  <Words>773</Words>
  <Characters>4334</Characters>
  <CharactersWithSpaces>5099</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2023-01-23T08:42:17Z</dcterms:created>
  <dc:creator/>
  <dc:description/>
  <dc:language>en-US</dc:language>
  <cp:lastModifiedBy/>
  <dcterms:modified xsi:type="dcterms:W3CDTF">2023-01-23T09:52:24Z</dcterms:modified>
  <cp:revision>19</cp:revision>
  <dc:subject/>
  <dc:title/>
</cp:coreProperties>
</file>